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52"/>
          <w:szCs w:val="52"/>
          <w:lang w:val="en-US" w:eastAsia="zh-CN"/>
        </w:rPr>
      </w:pPr>
      <w:bookmarkStart w:id="0" w:name="_Toc364868664"/>
      <w:bookmarkStart w:id="1" w:name="_Toc226194048"/>
      <w:bookmarkStart w:id="2" w:name="_Toc331085384"/>
      <w:bookmarkStart w:id="3" w:name="_Toc404251513"/>
      <w:bookmarkStart w:id="4" w:name="_Toc386035395"/>
      <w:bookmarkStart w:id="5" w:name="_Toc439170369"/>
      <w:bookmarkStart w:id="6" w:name="_Toc423032379"/>
      <w:bookmarkStart w:id="7" w:name="_Toc393724528"/>
      <w:bookmarkStart w:id="8" w:name="_Toc406598378"/>
      <w:bookmarkStart w:id="9" w:name="_Toc220481926"/>
      <w:bookmarkStart w:id="10" w:name="_Toc326070027"/>
    </w:p>
    <w:p>
      <w:pPr>
        <w:jc w:val="center"/>
        <w:rPr>
          <w:rFonts w:hint="default"/>
          <w:lang w:val="en-US"/>
        </w:rPr>
      </w:pPr>
      <w:r>
        <w:rPr>
          <w:rFonts w:hint="eastAsia" w:ascii="宋体" w:hAnsi="宋体" w:cs="宋体"/>
          <w:b/>
          <w:bCs/>
          <w:sz w:val="72"/>
          <w:szCs w:val="72"/>
          <w:lang w:val="en-US" w:eastAsia="zh-CN"/>
        </w:rPr>
        <w:t>和田市农村房屋安全性鉴定工作采购项目（包一）</w:t>
      </w:r>
    </w:p>
    <w:p>
      <w:pPr>
        <w:rPr>
          <w:rFonts w:ascii="宋体" w:hAnsi="宋体" w:cs="宋体"/>
          <w:sz w:val="28"/>
          <w:szCs w:val="28"/>
        </w:rPr>
      </w:pPr>
    </w:p>
    <w:p>
      <w:pPr>
        <w:pStyle w:val="2"/>
        <w:rPr>
          <w:rFonts w:ascii="宋体" w:hAnsi="宋体" w:cs="宋体"/>
          <w:sz w:val="28"/>
          <w:szCs w:val="28"/>
        </w:rPr>
      </w:pPr>
    </w:p>
    <w:p>
      <w:pPr>
        <w:pStyle w:val="9"/>
        <w:rPr>
          <w:rFonts w:hint="eastAsia"/>
        </w:rPr>
      </w:pPr>
    </w:p>
    <w:p>
      <w:pPr>
        <w:jc w:val="center"/>
        <w:rPr>
          <w:rFonts w:hint="eastAsia" w:ascii="宋体" w:hAnsi="宋体" w:cs="宋体"/>
          <w:sz w:val="28"/>
          <w:szCs w:val="28"/>
        </w:rPr>
      </w:pPr>
      <w:r>
        <w:rPr>
          <w:rFonts w:hint="eastAsia" w:ascii="宋体" w:hAnsi="宋体" w:cs="宋体"/>
          <w:color w:val="000000"/>
          <w:sz w:val="28"/>
          <w:szCs w:val="28"/>
        </w:rPr>
        <w:drawing>
          <wp:inline distT="0" distB="0" distL="114300" distR="114300">
            <wp:extent cx="2133600" cy="15595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2133600" cy="1559560"/>
                    </a:xfrm>
                    <a:prstGeom prst="rect">
                      <a:avLst/>
                    </a:prstGeom>
                    <a:noFill/>
                    <a:ln>
                      <a:noFill/>
                    </a:ln>
                  </pic:spPr>
                </pic:pic>
              </a:graphicData>
            </a:graphic>
          </wp:inline>
        </w:drawing>
      </w:r>
    </w:p>
    <w:p>
      <w:pPr>
        <w:spacing w:line="360" w:lineRule="exact"/>
        <w:jc w:val="center"/>
        <w:rPr>
          <w:rFonts w:hint="eastAsia" w:ascii="宋体" w:hAnsi="宋体" w:cs="宋体"/>
          <w:sz w:val="28"/>
          <w:szCs w:val="28"/>
        </w:rPr>
      </w:pPr>
    </w:p>
    <w:p>
      <w:pPr>
        <w:widowControl/>
        <w:jc w:val="center"/>
        <w:rPr>
          <w:rFonts w:hint="eastAsia" w:ascii="宋体" w:hAnsi="宋体" w:cs="宋体"/>
          <w:b/>
          <w:bCs/>
          <w:color w:val="000000"/>
          <w:kern w:val="0"/>
          <w:sz w:val="52"/>
          <w:szCs w:val="52"/>
          <w:lang w:val="zh-CN"/>
        </w:rPr>
      </w:pPr>
      <w:r>
        <w:rPr>
          <w:rFonts w:hint="eastAsia" w:ascii="宋体" w:hAnsi="宋体" w:cs="宋体"/>
          <w:b/>
          <w:bCs/>
          <w:color w:val="000000"/>
          <w:kern w:val="0"/>
          <w:sz w:val="52"/>
          <w:szCs w:val="52"/>
          <w:lang w:val="zh-CN"/>
        </w:rPr>
        <w:t>招</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标</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文</w:t>
      </w:r>
      <w:r>
        <w:rPr>
          <w:rFonts w:hint="eastAsia" w:ascii="宋体" w:hAnsi="宋体" w:cs="宋体"/>
          <w:b/>
          <w:bCs/>
          <w:color w:val="000000"/>
          <w:kern w:val="0"/>
          <w:sz w:val="52"/>
          <w:szCs w:val="52"/>
        </w:rPr>
        <w:t xml:space="preserve"> </w:t>
      </w:r>
      <w:r>
        <w:rPr>
          <w:rFonts w:hint="eastAsia" w:ascii="宋体" w:hAnsi="宋体" w:cs="宋体"/>
          <w:b/>
          <w:bCs/>
          <w:color w:val="000000"/>
          <w:kern w:val="0"/>
          <w:sz w:val="52"/>
          <w:szCs w:val="52"/>
          <w:lang w:val="zh-CN"/>
        </w:rPr>
        <w:t>件</w:t>
      </w:r>
    </w:p>
    <w:p>
      <w:pPr>
        <w:spacing w:line="360" w:lineRule="exact"/>
        <w:jc w:val="center"/>
        <w:rPr>
          <w:rFonts w:hint="eastAsia" w:ascii="宋体" w:hAnsi="宋体" w:cs="宋体"/>
          <w:b/>
          <w:bCs/>
          <w:color w:val="000000"/>
          <w:kern w:val="0"/>
          <w:sz w:val="32"/>
          <w:szCs w:val="32"/>
          <w:lang w:val="zh-CN"/>
        </w:rPr>
      </w:pPr>
    </w:p>
    <w:p>
      <w:pPr>
        <w:spacing w:line="360" w:lineRule="exact"/>
        <w:jc w:val="center"/>
        <w:rPr>
          <w:rFonts w:ascii="宋体" w:hAnsi="宋体" w:cs="宋体"/>
          <w:b/>
          <w:bCs/>
          <w:color w:val="000000"/>
          <w:kern w:val="0"/>
          <w:sz w:val="32"/>
          <w:szCs w:val="32"/>
        </w:rPr>
      </w:pPr>
      <w:r>
        <w:rPr>
          <w:rFonts w:hint="eastAsia" w:ascii="宋体" w:hAnsi="宋体" w:cs="宋体"/>
          <w:b/>
          <w:bCs/>
          <w:color w:val="000000"/>
          <w:kern w:val="0"/>
          <w:sz w:val="32"/>
          <w:szCs w:val="32"/>
          <w:lang w:val="zh-CN"/>
        </w:rPr>
        <w:t>项目编号：</w:t>
      </w:r>
      <w:r>
        <w:rPr>
          <w:rFonts w:hint="eastAsia" w:ascii="宋体" w:hAnsi="宋体" w:cs="宋体"/>
          <w:b/>
          <w:bCs/>
          <w:color w:val="000000"/>
          <w:kern w:val="0"/>
          <w:sz w:val="32"/>
          <w:szCs w:val="32"/>
          <w:lang w:val="zh-CN" w:eastAsia="zh-CN"/>
        </w:rPr>
        <w:t>TQHTFGS-HT-2020-29</w:t>
      </w:r>
      <w:r>
        <w:rPr>
          <w:rFonts w:hint="eastAsia" w:ascii="宋体" w:hAnsi="宋体" w:cs="宋体"/>
          <w:b/>
          <w:bCs/>
          <w:color w:val="000000"/>
          <w:kern w:val="0"/>
          <w:sz w:val="32"/>
          <w:szCs w:val="32"/>
          <w:lang w:val="zh-CN"/>
        </w:rPr>
        <w:t>号</w:t>
      </w:r>
    </w:p>
    <w:p>
      <w:pPr>
        <w:widowControl/>
        <w:jc w:val="center"/>
        <w:rPr>
          <w:rFonts w:hint="eastAsia" w:ascii="宋体" w:hAnsi="宋体" w:cs="宋体"/>
          <w:b/>
          <w:bCs/>
          <w:color w:val="000000"/>
          <w:kern w:val="0"/>
          <w:sz w:val="52"/>
          <w:szCs w:val="52"/>
          <w:lang w:val="zh-CN"/>
        </w:rPr>
      </w:pPr>
    </w:p>
    <w:p>
      <w:pPr>
        <w:rPr>
          <w:lang w:val="zh-CN"/>
        </w:rPr>
      </w:pPr>
    </w:p>
    <w:p>
      <w:pPr>
        <w:ind w:left="0" w:leftChars="0" w:firstLine="0" w:firstLineChars="0"/>
        <w:rPr>
          <w:rFonts w:hint="eastAsia"/>
          <w:lang w:val="zh-CN"/>
        </w:rPr>
      </w:pPr>
    </w:p>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lang w:val="zh-CN"/>
        </w:rPr>
        <w:t>招标代理人：</w:t>
      </w:r>
      <w:r>
        <w:rPr>
          <w:rFonts w:hint="eastAsia" w:ascii="宋体" w:hAnsi="宋体" w:cs="宋体"/>
          <w:b/>
          <w:bCs/>
          <w:color w:val="000000"/>
          <w:kern w:val="0"/>
          <w:sz w:val="32"/>
          <w:szCs w:val="32"/>
        </w:rPr>
        <w:t>新疆天麒工程项目管理咨询有限责任公司</w:t>
      </w:r>
    </w:p>
    <w:p>
      <w:pPr>
        <w:widowControl/>
        <w:jc w:val="center"/>
        <w:rPr>
          <w:rFonts w:hint="eastAsia" w:ascii="宋体" w:hAnsi="宋体" w:cs="宋体"/>
          <w:b/>
          <w:bCs/>
          <w:color w:val="000000"/>
          <w:kern w:val="0"/>
          <w:sz w:val="32"/>
          <w:szCs w:val="32"/>
          <w:lang w:val="zh-CN"/>
        </w:rPr>
      </w:pPr>
      <w:r>
        <w:rPr>
          <w:rFonts w:hint="eastAsia" w:ascii="宋体" w:hAnsi="宋体" w:cs="宋体"/>
          <w:b/>
          <w:bCs/>
          <w:color w:val="000000"/>
          <w:kern w:val="0"/>
          <w:sz w:val="32"/>
          <w:szCs w:val="32"/>
        </w:rPr>
        <w:t>地址：和田市</w:t>
      </w:r>
      <w:r>
        <w:rPr>
          <w:rFonts w:hint="eastAsia" w:ascii="宋体" w:hAnsi="宋体" w:cs="宋体"/>
          <w:b/>
          <w:bCs/>
          <w:color w:val="000000"/>
          <w:kern w:val="0"/>
          <w:sz w:val="32"/>
          <w:szCs w:val="32"/>
          <w:lang w:val="zh-CN"/>
        </w:rPr>
        <w:t>屯垦西路138号龙煤大厦</w:t>
      </w:r>
      <w:r>
        <w:rPr>
          <w:rFonts w:hint="eastAsia" w:ascii="宋体" w:hAnsi="宋体" w:cs="宋体"/>
          <w:b/>
          <w:bCs/>
          <w:color w:val="000000"/>
          <w:kern w:val="0"/>
          <w:sz w:val="32"/>
          <w:szCs w:val="32"/>
          <w:lang w:val="en-US" w:eastAsia="zh-CN"/>
        </w:rPr>
        <w:t>12</w:t>
      </w:r>
      <w:r>
        <w:rPr>
          <w:rFonts w:hint="eastAsia" w:ascii="宋体" w:hAnsi="宋体" w:cs="宋体"/>
          <w:b/>
          <w:bCs/>
          <w:color w:val="000000"/>
          <w:kern w:val="0"/>
          <w:sz w:val="32"/>
          <w:szCs w:val="32"/>
          <w:lang w:val="zh-CN"/>
        </w:rPr>
        <w:t>楼</w:t>
      </w:r>
      <w:r>
        <w:rPr>
          <w:rFonts w:hint="eastAsia" w:ascii="宋体" w:hAnsi="宋体" w:cs="宋体"/>
          <w:b/>
          <w:bCs/>
          <w:color w:val="000000"/>
          <w:kern w:val="0"/>
          <w:sz w:val="32"/>
          <w:szCs w:val="32"/>
          <w:lang w:val="en-US" w:eastAsia="zh-CN"/>
        </w:rPr>
        <w:t>12-10</w:t>
      </w:r>
      <w:r>
        <w:rPr>
          <w:rFonts w:hint="eastAsia" w:ascii="宋体" w:hAnsi="宋体" w:cs="宋体"/>
          <w:b/>
          <w:bCs/>
          <w:color w:val="000000"/>
          <w:kern w:val="0"/>
          <w:sz w:val="32"/>
          <w:szCs w:val="32"/>
          <w:lang w:val="zh-CN"/>
        </w:rPr>
        <w:t>室</w:t>
      </w:r>
    </w:p>
    <w:p>
      <w:pPr>
        <w:autoSpaceDE w:val="0"/>
        <w:autoSpaceDN w:val="0"/>
        <w:jc w:val="center"/>
        <w:rPr>
          <w:rFonts w:hint="eastAsia" w:ascii="宋体" w:hAnsi="宋体" w:cs="宋体"/>
          <w:bCs/>
          <w:sz w:val="44"/>
          <w:szCs w:val="44"/>
          <w:lang w:val="zh-CN"/>
        </w:rPr>
      </w:pPr>
    </w:p>
    <w:p>
      <w:pPr>
        <w:pStyle w:val="2"/>
        <w:rPr>
          <w:rFonts w:hint="eastAsia" w:ascii="宋体" w:hAnsi="宋体" w:cs="宋体"/>
          <w:bCs/>
          <w:sz w:val="44"/>
          <w:szCs w:val="44"/>
          <w:lang w:val="zh-CN"/>
        </w:rPr>
      </w:pPr>
    </w:p>
    <w:p>
      <w:pPr>
        <w:pStyle w:val="2"/>
        <w:rPr>
          <w:rFonts w:hint="eastAsia" w:ascii="宋体" w:hAnsi="宋体" w:cs="宋体"/>
          <w:bCs/>
          <w:sz w:val="44"/>
          <w:szCs w:val="44"/>
          <w:lang w:val="zh-CN"/>
        </w:rPr>
      </w:pPr>
    </w:p>
    <w:p>
      <w:pPr>
        <w:pStyle w:val="2"/>
        <w:rPr>
          <w:rFonts w:hint="eastAsia" w:ascii="宋体" w:hAnsi="宋体" w:cs="宋体"/>
          <w:bCs/>
          <w:sz w:val="44"/>
          <w:szCs w:val="44"/>
          <w:lang w:val="zh-CN"/>
        </w:rPr>
        <w:sectPr>
          <w:headerReference r:id="rId5" w:type="first"/>
          <w:footerReference r:id="rId8" w:type="first"/>
          <w:headerReference r:id="rId3" w:type="default"/>
          <w:footerReference r:id="rId6" w:type="default"/>
          <w:headerReference r:id="rId4" w:type="even"/>
          <w:footerReference r:id="rId7" w:type="even"/>
          <w:footnotePr>
            <w:numFmt w:val="decimalHalfWidth"/>
          </w:footnotePr>
          <w:endnotePr>
            <w:numFmt w:val="chineseCounting"/>
          </w:endnotePr>
          <w:pgSz w:w="11906" w:h="16838"/>
          <w:pgMar w:top="1134" w:right="1304" w:bottom="1134" w:left="1304" w:header="737" w:footer="850" w:gutter="0"/>
          <w:cols w:space="720" w:num="1"/>
          <w:titlePg/>
          <w:docGrid w:type="lines" w:linePitch="320" w:charSpace="0"/>
        </w:sectPr>
      </w:pPr>
    </w:p>
    <w:p>
      <w:pPr>
        <w:autoSpaceDE w:val="0"/>
        <w:autoSpaceDN w:val="0"/>
        <w:ind w:left="0" w:leftChars="0" w:firstLine="0" w:firstLineChars="0"/>
        <w:jc w:val="both"/>
        <w:rPr>
          <w:rFonts w:hint="eastAsia" w:ascii="宋体" w:hAnsi="宋体" w:cs="宋体"/>
          <w:bCs/>
          <w:sz w:val="44"/>
          <w:szCs w:val="44"/>
          <w:lang w:val="zh-CN"/>
        </w:rPr>
      </w:pPr>
    </w:p>
    <w:p>
      <w:pPr>
        <w:autoSpaceDE w:val="0"/>
        <w:autoSpaceDN w:val="0"/>
        <w:jc w:val="center"/>
        <w:rPr>
          <w:rFonts w:ascii="宋体" w:hAnsi="宋体"/>
          <w:bCs/>
          <w:sz w:val="44"/>
          <w:szCs w:val="44"/>
          <w:lang w:val="zh-CN"/>
        </w:rPr>
      </w:pPr>
      <w:r>
        <w:rPr>
          <w:rFonts w:hint="eastAsia" w:ascii="宋体" w:hAnsi="宋体" w:cs="宋体"/>
          <w:bCs/>
          <w:sz w:val="44"/>
          <w:szCs w:val="44"/>
          <w:lang w:val="zh-CN"/>
        </w:rPr>
        <w:t>招标文件</w:t>
      </w:r>
    </w:p>
    <w:p>
      <w:pPr>
        <w:autoSpaceDE w:val="0"/>
        <w:autoSpaceDN w:val="0"/>
        <w:adjustRightInd w:val="0"/>
        <w:ind w:left="4375" w:leftChars="150" w:hanging="4060" w:hangingChars="1450"/>
        <w:rPr>
          <w:rFonts w:ascii="宋体" w:hAnsi="宋体" w:cs="宋体"/>
          <w:bCs/>
          <w:kern w:val="0"/>
          <w:sz w:val="28"/>
          <w:szCs w:val="28"/>
          <w:lang w:val="zh-CN"/>
        </w:rPr>
      </w:pPr>
    </w:p>
    <w:p>
      <w:pPr>
        <w:autoSpaceDE w:val="0"/>
        <w:autoSpaceDN w:val="0"/>
        <w:adjustRightInd w:val="0"/>
        <w:ind w:left="4375" w:leftChars="150" w:hanging="4060" w:hangingChars="1450"/>
        <w:rPr>
          <w:rFonts w:ascii="宋体" w:hAnsi="宋体" w:cs="宋体"/>
          <w:bCs/>
          <w:kern w:val="0"/>
          <w:sz w:val="28"/>
          <w:szCs w:val="28"/>
          <w:lang w:val="zh-CN"/>
        </w:rPr>
      </w:pPr>
    </w:p>
    <w:p>
      <w:pPr>
        <w:snapToGrid w:val="0"/>
        <w:spacing w:line="700" w:lineRule="exact"/>
        <w:ind w:left="-26" w:leftChars="-95" w:hanging="173" w:hangingChars="62"/>
        <w:rPr>
          <w:rFonts w:hint="eastAsia" w:ascii="宋体" w:hAnsi="宋体"/>
          <w:bCs/>
          <w:sz w:val="28"/>
          <w:szCs w:val="28"/>
          <w:lang w:eastAsia="zh-CN"/>
        </w:rPr>
      </w:pPr>
      <w:r>
        <w:rPr>
          <w:rFonts w:hint="eastAsia" w:ascii="宋体" w:hAnsi="宋体"/>
          <w:bCs/>
          <w:sz w:val="28"/>
          <w:szCs w:val="28"/>
          <w:lang w:eastAsia="zh-CN"/>
        </w:rPr>
        <w:t>项目</w:t>
      </w:r>
      <w:r>
        <w:rPr>
          <w:rFonts w:hint="eastAsia" w:ascii="宋体" w:hAnsi="宋体"/>
          <w:bCs/>
          <w:sz w:val="28"/>
          <w:szCs w:val="28"/>
        </w:rPr>
        <w:t>名称：</w:t>
      </w:r>
      <w:r>
        <w:rPr>
          <w:rFonts w:hint="eastAsia" w:ascii="宋体" w:hAnsi="宋体"/>
          <w:bCs/>
          <w:sz w:val="28"/>
          <w:szCs w:val="28"/>
          <w:lang w:val="en-US" w:eastAsia="zh-CN"/>
        </w:rPr>
        <w:t>和田市农村房屋安全性鉴定工作采购项目</w:t>
      </w:r>
      <w:r>
        <w:rPr>
          <w:rFonts w:hint="eastAsia" w:ascii="宋体" w:hAnsi="宋体"/>
          <w:bCs/>
          <w:sz w:val="28"/>
          <w:szCs w:val="28"/>
          <w:lang w:eastAsia="zh-CN"/>
        </w:rPr>
        <w:t>（包</w:t>
      </w:r>
      <w:r>
        <w:rPr>
          <w:rFonts w:hint="eastAsia" w:ascii="宋体" w:hAnsi="宋体"/>
          <w:bCs/>
          <w:sz w:val="28"/>
          <w:szCs w:val="28"/>
          <w:lang w:val="en-US" w:eastAsia="zh-CN"/>
        </w:rPr>
        <w:t>一</w:t>
      </w:r>
      <w:r>
        <w:rPr>
          <w:rFonts w:hint="eastAsia" w:ascii="宋体" w:hAnsi="宋体"/>
          <w:bCs/>
          <w:sz w:val="28"/>
          <w:szCs w:val="28"/>
          <w:lang w:eastAsia="zh-CN"/>
        </w:rPr>
        <w:t>）</w:t>
      </w:r>
    </w:p>
    <w:p>
      <w:pPr>
        <w:snapToGrid w:val="0"/>
        <w:spacing w:line="700" w:lineRule="exact"/>
        <w:ind w:left="-26" w:leftChars="-95" w:hanging="173" w:hangingChars="62"/>
        <w:rPr>
          <w:rFonts w:hint="eastAsia" w:ascii="宋体" w:hAnsi="宋体"/>
          <w:bCs/>
          <w:sz w:val="28"/>
          <w:szCs w:val="28"/>
          <w:lang w:eastAsia="zh-CN"/>
        </w:rPr>
      </w:pPr>
      <w:r>
        <w:rPr>
          <w:rFonts w:hint="eastAsia" w:ascii="宋体" w:hAnsi="宋体"/>
          <w:bCs/>
          <w:sz w:val="28"/>
          <w:szCs w:val="28"/>
          <w:lang w:eastAsia="zh-CN"/>
        </w:rPr>
        <w:t>采购</w:t>
      </w:r>
      <w:r>
        <w:rPr>
          <w:rFonts w:hint="eastAsia" w:ascii="宋体" w:hAnsi="宋体"/>
          <w:bCs/>
          <w:sz w:val="28"/>
          <w:szCs w:val="28"/>
        </w:rPr>
        <w:t>人:</w:t>
      </w:r>
      <w:r>
        <w:rPr>
          <w:rFonts w:hint="eastAsia" w:ascii="宋体" w:hAnsi="宋体"/>
          <w:bCs/>
          <w:sz w:val="28"/>
          <w:szCs w:val="28"/>
          <w:lang w:eastAsia="zh-CN"/>
        </w:rPr>
        <w:t>（</w:t>
      </w:r>
      <w:r>
        <w:rPr>
          <w:rFonts w:hint="eastAsia" w:ascii="宋体" w:hAnsi="宋体"/>
          <w:bCs/>
          <w:sz w:val="28"/>
          <w:szCs w:val="28"/>
          <w:lang w:val="en-US" w:eastAsia="zh-CN"/>
        </w:rPr>
        <w:t>盖章</w:t>
      </w:r>
      <w:r>
        <w:rPr>
          <w:rFonts w:hint="eastAsia" w:ascii="宋体" w:hAnsi="宋体"/>
          <w:bCs/>
          <w:sz w:val="28"/>
          <w:szCs w:val="28"/>
          <w:lang w:eastAsia="zh-CN"/>
        </w:rPr>
        <w:t>）</w:t>
      </w:r>
      <w:r>
        <w:rPr>
          <w:rFonts w:hint="eastAsia" w:ascii="宋体" w:hAnsi="宋体"/>
          <w:bCs/>
          <w:sz w:val="28"/>
          <w:szCs w:val="28"/>
          <w:lang w:val="en-US" w:eastAsia="zh-CN"/>
        </w:rPr>
        <w:t>和田市</w:t>
      </w:r>
      <w:r>
        <w:rPr>
          <w:rFonts w:hint="eastAsia" w:ascii="宋体" w:hAnsi="宋体"/>
          <w:bCs/>
          <w:sz w:val="28"/>
          <w:szCs w:val="28"/>
          <w:lang w:eastAsia="zh-CN"/>
        </w:rPr>
        <w:t>住房和城乡建设局</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w:t>
      </w:r>
      <w:r>
        <w:rPr>
          <w:rFonts w:ascii="宋体" w:hAnsi="宋体"/>
          <w:bCs/>
          <w:sz w:val="28"/>
          <w:szCs w:val="28"/>
        </w:rPr>
        <w:t>:</w:t>
      </w:r>
      <w:r>
        <w:rPr>
          <w:rFonts w:hint="eastAsia" w:ascii="宋体" w:hAnsi="宋体"/>
          <w:bCs/>
          <w:sz w:val="28"/>
          <w:szCs w:val="28"/>
        </w:rPr>
        <w:t>（签字或盖章）</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联系人：</w:t>
      </w:r>
      <w:r>
        <w:rPr>
          <w:rFonts w:hint="eastAsia" w:ascii="宋体" w:hAnsi="宋体"/>
          <w:bCs/>
          <w:sz w:val="28"/>
          <w:szCs w:val="28"/>
          <w:lang w:val="en-US" w:eastAsia="zh-CN"/>
        </w:rPr>
        <w:t>卢俊丽</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联系电话：</w:t>
      </w:r>
      <w:r>
        <w:rPr>
          <w:rFonts w:hint="eastAsia" w:ascii="宋体" w:hAnsi="宋体"/>
          <w:bCs/>
          <w:sz w:val="28"/>
          <w:szCs w:val="28"/>
          <w:lang w:val="en-US" w:eastAsia="zh-CN"/>
        </w:rPr>
        <w:t>0903-2562371</w:t>
      </w: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招标代理机构:</w:t>
      </w:r>
      <w:r>
        <w:rPr>
          <w:rFonts w:hint="eastAsia" w:ascii="宋体" w:hAnsi="宋体"/>
          <w:bCs/>
          <w:sz w:val="28"/>
          <w:szCs w:val="28"/>
          <w:lang w:eastAsia="zh-CN"/>
        </w:rPr>
        <w:t>（</w:t>
      </w:r>
      <w:r>
        <w:rPr>
          <w:rFonts w:hint="eastAsia" w:ascii="宋体" w:hAnsi="宋体"/>
          <w:bCs/>
          <w:sz w:val="28"/>
          <w:szCs w:val="28"/>
          <w:lang w:val="en-US" w:eastAsia="zh-CN"/>
        </w:rPr>
        <w:t>盖章</w:t>
      </w:r>
      <w:r>
        <w:rPr>
          <w:rFonts w:hint="eastAsia" w:ascii="宋体" w:hAnsi="宋体"/>
          <w:bCs/>
          <w:sz w:val="28"/>
          <w:szCs w:val="28"/>
          <w:lang w:eastAsia="zh-CN"/>
        </w:rPr>
        <w:t>）</w:t>
      </w:r>
      <w:r>
        <w:rPr>
          <w:rFonts w:hint="eastAsia" w:ascii="宋体" w:hAnsi="宋体"/>
          <w:bCs/>
          <w:sz w:val="28"/>
          <w:szCs w:val="28"/>
        </w:rPr>
        <w:t>新疆天麒工程项目管理咨询有限责任公司</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 （签字或盖章）</w:t>
      </w:r>
    </w:p>
    <w:p>
      <w:pPr>
        <w:snapToGrid w:val="0"/>
        <w:spacing w:line="700" w:lineRule="exact"/>
        <w:ind w:left="-26" w:leftChars="-95" w:hanging="173" w:hangingChars="62"/>
        <w:rPr>
          <w:rFonts w:hint="default" w:ascii="宋体" w:hAnsi="宋体" w:eastAsia="宋体"/>
          <w:bCs/>
          <w:sz w:val="28"/>
          <w:szCs w:val="28"/>
          <w:lang w:val="en-US" w:eastAsia="zh-CN"/>
        </w:rPr>
      </w:pPr>
      <w:r>
        <w:rPr>
          <w:rFonts w:hint="eastAsia" w:ascii="宋体" w:hAnsi="宋体"/>
          <w:bCs/>
          <w:sz w:val="28"/>
          <w:szCs w:val="28"/>
        </w:rPr>
        <w:t>联系人：</w:t>
      </w:r>
      <w:r>
        <w:rPr>
          <w:rFonts w:hint="eastAsia" w:ascii="宋体" w:hAnsi="宋体"/>
          <w:bCs/>
          <w:sz w:val="28"/>
          <w:szCs w:val="28"/>
          <w:lang w:val="en-US" w:eastAsia="zh-CN"/>
        </w:rPr>
        <w:t>翟彦飞</w:t>
      </w:r>
    </w:p>
    <w:p>
      <w:pPr>
        <w:snapToGrid w:val="0"/>
        <w:spacing w:line="700" w:lineRule="exact"/>
        <w:ind w:left="-26" w:leftChars="-95" w:hanging="173" w:hangingChars="62"/>
        <w:rPr>
          <w:rFonts w:hint="default" w:ascii="宋体" w:hAnsi="宋体" w:eastAsia="宋体"/>
          <w:bCs/>
          <w:sz w:val="32"/>
          <w:lang w:val="en-US" w:eastAsia="zh-CN"/>
        </w:rPr>
      </w:pPr>
      <w:r>
        <w:rPr>
          <w:rFonts w:hint="eastAsia" w:ascii="宋体" w:hAnsi="宋体"/>
          <w:bCs/>
          <w:sz w:val="28"/>
          <w:szCs w:val="28"/>
        </w:rPr>
        <w:t>联系电话：</w:t>
      </w:r>
      <w:r>
        <w:rPr>
          <w:rFonts w:hint="eastAsia" w:ascii="宋体" w:hAnsi="宋体"/>
          <w:bCs/>
          <w:sz w:val="28"/>
          <w:szCs w:val="28"/>
          <w:lang w:val="en-US" w:eastAsia="zh-CN"/>
        </w:rPr>
        <w:t>0903-6870055</w:t>
      </w:r>
    </w:p>
    <w:p>
      <w:pPr>
        <w:rPr>
          <w:rFonts w:ascii="宋体" w:hAnsi="宋体"/>
          <w:b/>
          <w:bCs/>
          <w:sz w:val="28"/>
          <w:szCs w:val="28"/>
        </w:rPr>
      </w:pPr>
    </w:p>
    <w:p>
      <w:pPr>
        <w:rPr>
          <w:rFonts w:ascii="宋体" w:hAnsi="宋体"/>
          <w:b/>
          <w:bCs/>
          <w:sz w:val="28"/>
          <w:szCs w:val="28"/>
        </w:rPr>
      </w:pPr>
    </w:p>
    <w:p>
      <w:pPr>
        <w:pStyle w:val="20"/>
        <w:ind w:firstLine="480"/>
      </w:pPr>
    </w:p>
    <w:p>
      <w:pPr>
        <w:pStyle w:val="20"/>
        <w:ind w:firstLine="480"/>
      </w:pPr>
    </w:p>
    <w:p>
      <w:pPr>
        <w:ind w:left="141" w:hanging="141"/>
        <w:rPr>
          <w:rFonts w:hint="eastAsia" w:ascii="宋体" w:hAnsi="宋体"/>
          <w:b/>
          <w:bCs/>
          <w:sz w:val="28"/>
          <w:szCs w:val="28"/>
        </w:rPr>
      </w:pPr>
    </w:p>
    <w:p>
      <w:pPr>
        <w:ind w:left="141" w:hanging="141"/>
        <w:rPr>
          <w:rFonts w:hint="eastAsia" w:ascii="宋体" w:hAnsi="宋体"/>
          <w:b/>
          <w:bCs/>
          <w:sz w:val="28"/>
          <w:szCs w:val="28"/>
        </w:rPr>
        <w:sectPr>
          <w:footerReference r:id="rId10" w:type="first"/>
          <w:footerReference r:id="rId9" w:type="default"/>
          <w:footnotePr>
            <w:numFmt w:val="decimalHalfWidth"/>
          </w:footnotePr>
          <w:endnotePr>
            <w:numFmt w:val="chineseCounting"/>
          </w:endnotePr>
          <w:pgSz w:w="11906" w:h="16838"/>
          <w:pgMar w:top="1134" w:right="1304" w:bottom="1134" w:left="1304" w:header="737" w:footer="850" w:gutter="0"/>
          <w:pgNumType w:start="1"/>
          <w:cols w:space="720" w:num="1"/>
          <w:titlePg/>
          <w:docGrid w:type="lines" w:linePitch="320" w:charSpace="0"/>
        </w:sectPr>
      </w:pPr>
    </w:p>
    <w:p>
      <w:pPr>
        <w:pStyle w:val="2"/>
        <w:rPr>
          <w:rFonts w:hint="eastAsia"/>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hint="eastAsia" w:ascii="宋体" w:hAnsi="宋体"/>
          <w:b/>
          <w:bCs/>
          <w:sz w:val="28"/>
          <w:szCs w:val="28"/>
        </w:rPr>
      </w:pPr>
    </w:p>
    <w:p>
      <w:pPr>
        <w:ind w:left="141" w:hanging="141"/>
        <w:rPr>
          <w:rFonts w:ascii="宋体" w:hAnsi="宋体"/>
          <w:b/>
          <w:bCs/>
          <w:sz w:val="28"/>
          <w:szCs w:val="28"/>
        </w:rPr>
      </w:pPr>
      <w:r>
        <w:rPr>
          <w:rFonts w:hint="eastAsia" w:ascii="宋体" w:hAnsi="宋体"/>
          <w:b/>
          <w:bCs/>
          <w:sz w:val="28"/>
          <w:szCs w:val="28"/>
        </w:rPr>
        <w:t>招投标监督管理机构备案登记栏：</w:t>
      </w:r>
    </w:p>
    <w:tbl>
      <w:tblPr>
        <w:tblStyle w:val="70"/>
        <w:tblW w:w="9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2" w:hRule="atLeast"/>
        </w:trPr>
        <w:tc>
          <w:tcPr>
            <w:tcW w:w="9249" w:type="dxa"/>
          </w:tcPr>
          <w:p>
            <w:pPr>
              <w:ind w:left="140" w:hanging="140"/>
              <w:jc w:val="center"/>
              <w:rPr>
                <w:rFonts w:ascii="宋体" w:hAnsi="宋体"/>
                <w:sz w:val="28"/>
                <w:szCs w:val="28"/>
              </w:rPr>
            </w:pPr>
          </w:p>
          <w:p>
            <w:pPr>
              <w:ind w:left="140" w:hanging="140"/>
              <w:rPr>
                <w:rFonts w:ascii="宋体" w:hAnsi="宋体"/>
                <w:sz w:val="28"/>
                <w:szCs w:val="28"/>
              </w:rPr>
            </w:pPr>
          </w:p>
          <w:p>
            <w:pPr>
              <w:pStyle w:val="9"/>
              <w:rPr>
                <w:rFonts w:ascii="宋体" w:hAnsi="宋体"/>
                <w:sz w:val="28"/>
                <w:szCs w:val="28"/>
              </w:rPr>
            </w:pPr>
          </w:p>
          <w:p>
            <w:pPr>
              <w:pStyle w:val="9"/>
              <w:rPr>
                <w:rFonts w:ascii="宋体" w:hAnsi="宋体"/>
                <w:sz w:val="28"/>
                <w:szCs w:val="28"/>
              </w:rPr>
            </w:pPr>
          </w:p>
          <w:p>
            <w:pPr>
              <w:ind w:left="140" w:hanging="140"/>
              <w:jc w:val="center"/>
              <w:rPr>
                <w:rFonts w:ascii="宋体" w:hAnsi="宋体"/>
                <w:sz w:val="28"/>
                <w:szCs w:val="28"/>
              </w:rPr>
            </w:pPr>
            <w:r>
              <w:rPr>
                <w:rFonts w:hint="eastAsia" w:ascii="宋体" w:hAnsi="宋体"/>
                <w:sz w:val="28"/>
                <w:szCs w:val="28"/>
              </w:rPr>
              <w:t>本招标文件已报备</w:t>
            </w:r>
          </w:p>
          <w:p>
            <w:pPr>
              <w:ind w:left="140" w:hanging="140"/>
              <w:jc w:val="center"/>
              <w:rPr>
                <w:rFonts w:ascii="宋体" w:hAnsi="宋体"/>
                <w:sz w:val="28"/>
                <w:szCs w:val="28"/>
              </w:rPr>
            </w:pPr>
          </w:p>
          <w:p>
            <w:pPr>
              <w:ind w:left="140" w:hanging="140"/>
              <w:jc w:val="center"/>
              <w:rPr>
                <w:rFonts w:ascii="宋体" w:hAnsi="宋体"/>
                <w:sz w:val="28"/>
                <w:szCs w:val="28"/>
              </w:rPr>
            </w:pPr>
          </w:p>
          <w:p>
            <w:pPr>
              <w:ind w:left="140" w:hanging="140"/>
              <w:jc w:val="center"/>
              <w:rPr>
                <w:rFonts w:ascii="宋体" w:hAnsi="宋体"/>
                <w:sz w:val="28"/>
                <w:szCs w:val="28"/>
              </w:rPr>
            </w:pPr>
          </w:p>
          <w:p>
            <w:pPr>
              <w:ind w:left="141" w:hanging="141"/>
              <w:rPr>
                <w:rFonts w:ascii="宋体" w:hAnsi="宋体"/>
                <w:b/>
                <w:bCs/>
                <w:sz w:val="28"/>
                <w:szCs w:val="28"/>
              </w:rPr>
            </w:pPr>
          </w:p>
          <w:p>
            <w:pPr>
              <w:ind w:left="141" w:hanging="141"/>
              <w:rPr>
                <w:rFonts w:ascii="宋体" w:hAnsi="宋体"/>
                <w:b/>
                <w:bCs/>
                <w:sz w:val="28"/>
                <w:szCs w:val="28"/>
              </w:rPr>
            </w:pPr>
          </w:p>
          <w:p>
            <w:pPr>
              <w:ind w:left="141" w:hanging="141"/>
              <w:rPr>
                <w:rFonts w:ascii="宋体" w:hAnsi="宋体"/>
                <w:b/>
                <w:bCs/>
                <w:sz w:val="28"/>
                <w:szCs w:val="28"/>
              </w:rPr>
            </w:pPr>
          </w:p>
          <w:p>
            <w:pPr>
              <w:ind w:left="140" w:hanging="140"/>
              <w:rPr>
                <w:rFonts w:ascii="宋体" w:hAnsi="宋体" w:cs="宋体"/>
                <w:bCs/>
                <w:sz w:val="28"/>
                <w:szCs w:val="28"/>
                <w:lang w:val="zh-CN"/>
              </w:rPr>
            </w:pPr>
            <w:r>
              <w:rPr>
                <w:rFonts w:hint="eastAsia" w:ascii="宋体" w:hAnsi="宋体" w:cs="宋体"/>
                <w:bCs/>
                <w:sz w:val="28"/>
                <w:szCs w:val="28"/>
                <w:lang w:val="zh-CN"/>
              </w:rPr>
              <w:t>项目名称：</w:t>
            </w:r>
            <w:r>
              <w:rPr>
                <w:rFonts w:hint="eastAsia" w:ascii="宋体" w:hAnsi="宋体"/>
                <w:bCs/>
                <w:sz w:val="28"/>
                <w:szCs w:val="28"/>
                <w:lang w:val="en-US" w:eastAsia="zh-CN"/>
              </w:rPr>
              <w:t>和田市农村房屋安全性鉴定工作采购项目</w:t>
            </w:r>
            <w:r>
              <w:rPr>
                <w:rFonts w:hint="eastAsia" w:ascii="宋体" w:hAnsi="宋体"/>
                <w:bCs/>
                <w:sz w:val="28"/>
                <w:szCs w:val="28"/>
                <w:lang w:eastAsia="zh-CN"/>
              </w:rPr>
              <w:t>（包</w:t>
            </w:r>
            <w:r>
              <w:rPr>
                <w:rFonts w:hint="eastAsia" w:ascii="宋体" w:hAnsi="宋体"/>
                <w:bCs/>
                <w:sz w:val="28"/>
                <w:szCs w:val="28"/>
                <w:lang w:val="en-US" w:eastAsia="zh-CN"/>
              </w:rPr>
              <w:t>一</w:t>
            </w:r>
            <w:r>
              <w:rPr>
                <w:rFonts w:hint="eastAsia" w:ascii="宋体" w:hAnsi="宋体"/>
                <w:bCs/>
                <w:sz w:val="28"/>
                <w:szCs w:val="28"/>
                <w:lang w:eastAsia="zh-CN"/>
              </w:rPr>
              <w:t>）</w:t>
            </w:r>
          </w:p>
          <w:p>
            <w:pPr>
              <w:ind w:left="140" w:hanging="140"/>
              <w:rPr>
                <w:rFonts w:ascii="宋体" w:hAnsi="宋体" w:cs="宋体"/>
                <w:bCs/>
                <w:sz w:val="28"/>
                <w:szCs w:val="28"/>
                <w:lang w:val="zh-CN"/>
              </w:rPr>
            </w:pPr>
          </w:p>
          <w:p>
            <w:pPr>
              <w:pStyle w:val="9"/>
              <w:rPr>
                <w:rFonts w:ascii="宋体" w:hAnsi="宋体" w:cs="宋体"/>
                <w:bCs/>
                <w:sz w:val="28"/>
                <w:szCs w:val="28"/>
                <w:lang w:val="zh-CN"/>
              </w:rPr>
            </w:pPr>
          </w:p>
          <w:p>
            <w:pPr>
              <w:pStyle w:val="9"/>
              <w:rPr>
                <w:rFonts w:ascii="宋体" w:hAnsi="宋体" w:cs="宋体"/>
                <w:bCs/>
                <w:sz w:val="28"/>
                <w:szCs w:val="28"/>
                <w:lang w:val="zh-CN"/>
              </w:rPr>
            </w:pPr>
          </w:p>
          <w:p>
            <w:pPr>
              <w:pStyle w:val="9"/>
              <w:rPr>
                <w:rFonts w:ascii="宋体" w:hAnsi="宋体" w:cs="宋体"/>
                <w:bCs/>
                <w:sz w:val="28"/>
                <w:szCs w:val="28"/>
                <w:lang w:val="zh-CN"/>
              </w:rPr>
            </w:pPr>
          </w:p>
          <w:p>
            <w:pPr>
              <w:ind w:left="140" w:hanging="140"/>
              <w:rPr>
                <w:rFonts w:ascii="宋体" w:hAnsi="宋体"/>
                <w:b/>
                <w:bCs/>
                <w:sz w:val="28"/>
                <w:szCs w:val="28"/>
              </w:rPr>
            </w:pPr>
            <w:r>
              <w:rPr>
                <w:rFonts w:hint="eastAsia" w:ascii="宋体" w:hAnsi="宋体"/>
                <w:sz w:val="28"/>
                <w:szCs w:val="28"/>
              </w:rPr>
              <w:t xml:space="preserve">                            备案日期：2020年</w:t>
            </w:r>
            <w:r>
              <w:rPr>
                <w:rFonts w:hint="eastAsia" w:ascii="宋体" w:hAnsi="宋体"/>
                <w:sz w:val="28"/>
                <w:szCs w:val="28"/>
                <w:lang w:val="en-US" w:eastAsia="zh-CN"/>
              </w:rPr>
              <w:t>5</w:t>
            </w:r>
            <w:r>
              <w:rPr>
                <w:rFonts w:hint="eastAsia" w:ascii="宋体" w:hAnsi="宋体"/>
                <w:sz w:val="28"/>
                <w:szCs w:val="28"/>
              </w:rPr>
              <w:t>月</w:t>
            </w:r>
            <w:r>
              <w:rPr>
                <w:rFonts w:hint="eastAsia" w:ascii="宋体" w:hAnsi="宋体"/>
                <w:sz w:val="28"/>
                <w:szCs w:val="28"/>
                <w:lang w:val="en-US" w:eastAsia="zh-CN"/>
              </w:rPr>
              <w:t>12</w:t>
            </w:r>
            <w:r>
              <w:rPr>
                <w:rFonts w:hint="eastAsia" w:ascii="宋体" w:hAnsi="宋体"/>
                <w:sz w:val="28"/>
                <w:szCs w:val="28"/>
              </w:rPr>
              <w:t>日</w:t>
            </w:r>
          </w:p>
        </w:tc>
      </w:tr>
    </w:tbl>
    <w:p>
      <w:pPr>
        <w:pStyle w:val="154"/>
        <w:ind w:firstLine="6746" w:firstLineChars="2400"/>
        <w:jc w:val="both"/>
        <w:rPr>
          <w:rFonts w:hint="default" w:ascii="宋体" w:hAnsi="宋体" w:eastAsia="宋体"/>
          <w:b/>
          <w:bCs/>
          <w:color w:val="auto"/>
          <w:sz w:val="28"/>
          <w:szCs w:val="28"/>
          <w:lang w:val="en-US" w:eastAsia="zh-CN"/>
        </w:rPr>
        <w:sectPr>
          <w:footerReference r:id="rId12" w:type="first"/>
          <w:footerReference r:id="rId11" w:type="default"/>
          <w:footnotePr>
            <w:numFmt w:val="decimalHalfWidth"/>
          </w:footnotePr>
          <w:endnotePr>
            <w:numFmt w:val="chineseCounting"/>
          </w:endnotePr>
          <w:pgSz w:w="11906" w:h="16838"/>
          <w:pgMar w:top="1134" w:right="1304" w:bottom="1134" w:left="1304" w:header="737" w:footer="850" w:gutter="0"/>
          <w:pgNumType w:start="1"/>
          <w:cols w:space="720" w:num="1"/>
          <w:docGrid w:type="lines" w:linePitch="320" w:charSpace="0"/>
        </w:sectPr>
      </w:pPr>
      <w:r>
        <w:rPr>
          <w:rFonts w:hint="eastAsia" w:ascii="宋体" w:hAnsi="宋体"/>
          <w:b/>
          <w:bCs/>
          <w:color w:val="auto"/>
          <w:sz w:val="28"/>
          <w:szCs w:val="28"/>
          <w:lang w:val="en-US" w:eastAsia="zh-CN"/>
        </w:rPr>
        <w:t>和田市政府采购办</w:t>
      </w:r>
    </w:p>
    <w:p>
      <w:pPr>
        <w:pStyle w:val="154"/>
        <w:ind w:left="141" w:hanging="141"/>
        <w:jc w:val="center"/>
        <w:rPr>
          <w:rFonts w:ascii="宋体" w:hAnsi="宋体"/>
          <w:b/>
          <w:bCs/>
          <w:color w:val="auto"/>
          <w:sz w:val="28"/>
          <w:szCs w:val="28"/>
        </w:rPr>
      </w:pPr>
      <w:r>
        <w:rPr>
          <w:rFonts w:hint="eastAsia" w:ascii="宋体" w:hAnsi="宋体"/>
          <w:b/>
          <w:bCs/>
          <w:color w:val="auto"/>
          <w:sz w:val="28"/>
          <w:szCs w:val="28"/>
        </w:rPr>
        <w:t xml:space="preserve">                                </w:t>
      </w:r>
    </w:p>
    <w:p>
      <w:pPr>
        <w:ind w:left="0" w:firstLine="0" w:firstLineChars="0"/>
        <w:jc w:val="both"/>
        <w:rPr>
          <w:rFonts w:ascii="宋体" w:hAnsi="宋体"/>
          <w:b/>
          <w:bCs/>
          <w:color w:val="000000" w:themeColor="text1"/>
          <w:sz w:val="48"/>
          <w:szCs w:val="48"/>
          <w14:textFill>
            <w14:solidFill>
              <w14:schemeClr w14:val="tx1"/>
            </w14:solidFill>
          </w14:textFill>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pPr>
    </w:p>
    <w:p>
      <w:pPr>
        <w:overflowPunct w:val="0"/>
        <w:ind w:left="180" w:hanging="180"/>
        <w:jc w:val="center"/>
        <w:rPr>
          <w:rFonts w:hint="eastAsia" w:ascii="宋体" w:hAnsi="宋体" w:cs="Arial"/>
          <w:kern w:val="0"/>
          <w:sz w:val="36"/>
          <w:szCs w:val="36"/>
        </w:rPr>
        <w:sectPr>
          <w:footerReference r:id="rId13" w:type="default"/>
          <w:footnotePr>
            <w:numFmt w:val="decimalHalfWidth"/>
          </w:footnotePr>
          <w:endnotePr>
            <w:numFmt w:val="chineseCounting"/>
          </w:endnotePr>
          <w:pgSz w:w="11906" w:h="16838"/>
          <w:pgMar w:top="1134" w:right="1304" w:bottom="1134" w:left="1304" w:header="737" w:footer="850" w:gutter="0"/>
          <w:pgNumType w:fmt="decimal" w:start="1"/>
          <w:cols w:space="720" w:num="1"/>
          <w:docGrid w:type="lines" w:linePitch="320" w:charSpace="0"/>
        </w:sectPr>
      </w:pPr>
    </w:p>
    <w:p>
      <w:pPr>
        <w:pStyle w:val="2"/>
        <w:rPr>
          <w:rFonts w:hint="eastAsia"/>
        </w:rPr>
      </w:pPr>
    </w:p>
    <w:p>
      <w:pPr>
        <w:overflowPunct w:val="0"/>
        <w:ind w:left="0" w:leftChars="0" w:firstLine="3960" w:firstLineChars="1100"/>
        <w:jc w:val="both"/>
        <w:rPr>
          <w:rFonts w:ascii="宋体" w:hAnsi="宋体" w:cs="Arial"/>
          <w:kern w:val="0"/>
          <w:sz w:val="36"/>
          <w:szCs w:val="36"/>
        </w:rPr>
      </w:pPr>
      <w:r>
        <w:rPr>
          <w:rFonts w:hint="eastAsia" w:ascii="宋体" w:hAnsi="宋体" w:cs="Arial"/>
          <w:kern w:val="0"/>
          <w:sz w:val="36"/>
          <w:szCs w:val="36"/>
        </w:rPr>
        <w:t>目  录</w:t>
      </w:r>
    </w:p>
    <w:sdt>
      <w:sdtPr>
        <w:rPr>
          <w:rFonts w:ascii="宋体" w:hAnsi="宋体" w:eastAsia="宋体" w:cs="Times New Roman"/>
          <w:kern w:val="2"/>
          <w:sz w:val="21"/>
          <w:szCs w:val="24"/>
          <w:lang w:val="en-US" w:eastAsia="zh-CN" w:bidi="ar-SA"/>
        </w:rPr>
        <w:id w:val="147460442"/>
        <w15:color w:val="DBDBDB"/>
        <w:docPartObj>
          <w:docPartGallery w:val="Table of Contents"/>
          <w:docPartUnique/>
        </w:docPartObj>
      </w:sdtPr>
      <w:sdtEndPr>
        <w:rPr>
          <w:rFonts w:ascii="宋体" w:hAnsi="宋体" w:eastAsia="宋体" w:cs="Times New Roman"/>
          <w:color w:val="000000" w:themeColor="text1"/>
          <w:kern w:val="2"/>
          <w:sz w:val="21"/>
          <w:szCs w:val="36"/>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pPr>
        </w:p>
        <w:p>
          <w:pPr>
            <w:pStyle w:val="163"/>
            <w:tabs>
              <w:tab w:val="right" w:leader="dot" w:pos="9298"/>
            </w:tabs>
            <w:rPr>
              <w:sz w:val="28"/>
              <w:szCs w:val="28"/>
            </w:rPr>
          </w:pPr>
          <w:r>
            <w:rPr>
              <w:rFonts w:ascii="宋体" w:hAnsi="宋体"/>
              <w:color w:val="000000" w:themeColor="text1"/>
              <w:sz w:val="52"/>
              <w:szCs w:val="52"/>
              <w14:textFill>
                <w14:solidFill>
                  <w14:schemeClr w14:val="tx1"/>
                </w14:solidFill>
              </w14:textFill>
            </w:rPr>
            <w:fldChar w:fldCharType="begin"/>
          </w:r>
          <w:r>
            <w:rPr>
              <w:rFonts w:ascii="宋体" w:hAnsi="宋体"/>
              <w:color w:val="000000" w:themeColor="text1"/>
              <w:sz w:val="52"/>
              <w:szCs w:val="52"/>
              <w14:textFill>
                <w14:solidFill>
                  <w14:schemeClr w14:val="tx1"/>
                </w14:solidFill>
              </w14:textFill>
            </w:rPr>
            <w:instrText xml:space="preserve">TOC \o "1-1" \h \u </w:instrText>
          </w:r>
          <w:r>
            <w:rPr>
              <w:rFonts w:ascii="宋体" w:hAnsi="宋体"/>
              <w:color w:val="000000" w:themeColor="text1"/>
              <w:sz w:val="52"/>
              <w:szCs w:val="52"/>
              <w14:textFill>
                <w14:solidFill>
                  <w14:schemeClr w14:val="tx1"/>
                </w14:solidFill>
              </w14:textFill>
            </w:rPr>
            <w:fldChar w:fldCharType="separate"/>
          </w: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_Toc22007 </w:instrText>
          </w:r>
          <w:r>
            <w:rPr>
              <w:rFonts w:ascii="宋体" w:hAnsi="宋体"/>
              <w:sz w:val="28"/>
              <w:szCs w:val="52"/>
            </w:rPr>
            <w:fldChar w:fldCharType="separate"/>
          </w:r>
          <w:r>
            <w:rPr>
              <w:rFonts w:hint="eastAsia" w:ascii="宋体" w:hAnsi="宋体"/>
              <w:sz w:val="28"/>
              <w:szCs w:val="96"/>
            </w:rPr>
            <w:t>第一章招标公告</w:t>
          </w:r>
          <w:r>
            <w:rPr>
              <w:sz w:val="28"/>
              <w:szCs w:val="28"/>
            </w:rPr>
            <w:tab/>
          </w:r>
          <w:r>
            <w:rPr>
              <w:rFonts w:hint="eastAsia"/>
              <w:sz w:val="28"/>
              <w:szCs w:val="28"/>
              <w:lang w:val="en-US" w:eastAsia="zh-CN"/>
            </w:rPr>
            <w:t>1</w:t>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_Toc7533 </w:instrText>
          </w:r>
          <w:r>
            <w:rPr>
              <w:rFonts w:ascii="宋体" w:hAnsi="宋体"/>
              <w:sz w:val="28"/>
              <w:szCs w:val="52"/>
            </w:rPr>
            <w:fldChar w:fldCharType="separate"/>
          </w:r>
          <w:r>
            <w:rPr>
              <w:rFonts w:hint="eastAsia" w:ascii="宋体" w:hAnsi="宋体"/>
              <w:sz w:val="28"/>
              <w:szCs w:val="44"/>
            </w:rPr>
            <w:t>第二章  投标人须知</w:t>
          </w:r>
          <w:r>
            <w:rPr>
              <w:sz w:val="28"/>
              <w:szCs w:val="28"/>
            </w:rPr>
            <w:tab/>
          </w:r>
          <w:r>
            <w:rPr>
              <w:sz w:val="28"/>
              <w:szCs w:val="28"/>
            </w:rPr>
            <w:fldChar w:fldCharType="begin"/>
          </w:r>
          <w:r>
            <w:rPr>
              <w:sz w:val="28"/>
              <w:szCs w:val="28"/>
            </w:rPr>
            <w:instrText xml:space="preserve"> PAGEREF _Toc7533 </w:instrText>
          </w:r>
          <w:r>
            <w:rPr>
              <w:sz w:val="28"/>
              <w:szCs w:val="28"/>
            </w:rPr>
            <w:fldChar w:fldCharType="separate"/>
          </w:r>
          <w:r>
            <w:rPr>
              <w:sz w:val="28"/>
              <w:szCs w:val="28"/>
            </w:rPr>
            <w:t>4</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_Toc6378 </w:instrText>
          </w:r>
          <w:r>
            <w:rPr>
              <w:rFonts w:ascii="宋体" w:hAnsi="宋体"/>
              <w:sz w:val="28"/>
              <w:szCs w:val="52"/>
            </w:rPr>
            <w:fldChar w:fldCharType="separate"/>
          </w:r>
          <w:r>
            <w:rPr>
              <w:rFonts w:hint="eastAsia" w:ascii="宋体" w:hAnsi="宋体" w:cs="宋体"/>
              <w:sz w:val="28"/>
              <w:szCs w:val="28"/>
            </w:rPr>
            <w:t>第三章 技术要求</w:t>
          </w:r>
          <w:r>
            <w:rPr>
              <w:sz w:val="28"/>
              <w:szCs w:val="28"/>
            </w:rPr>
            <w:tab/>
          </w:r>
          <w:r>
            <w:rPr>
              <w:sz w:val="28"/>
              <w:szCs w:val="28"/>
            </w:rPr>
            <w:fldChar w:fldCharType="begin"/>
          </w:r>
          <w:r>
            <w:rPr>
              <w:sz w:val="28"/>
              <w:szCs w:val="28"/>
            </w:rPr>
            <w:instrText xml:space="preserve"> PAGEREF _Toc6378 </w:instrText>
          </w:r>
          <w:r>
            <w:rPr>
              <w:sz w:val="28"/>
              <w:szCs w:val="28"/>
            </w:rPr>
            <w:fldChar w:fldCharType="separate"/>
          </w:r>
          <w:r>
            <w:rPr>
              <w:sz w:val="28"/>
              <w:szCs w:val="28"/>
            </w:rPr>
            <w:t>22</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_Toc23174 </w:instrText>
          </w:r>
          <w:r>
            <w:rPr>
              <w:rFonts w:ascii="宋体" w:hAnsi="宋体"/>
              <w:sz w:val="28"/>
              <w:szCs w:val="52"/>
            </w:rPr>
            <w:fldChar w:fldCharType="separate"/>
          </w:r>
          <w:r>
            <w:rPr>
              <w:rFonts w:hint="eastAsia" w:ascii="宋体" w:hAnsi="宋体" w:eastAsia="宋体" w:cs="宋体"/>
              <w:kern w:val="2"/>
              <w:sz w:val="28"/>
              <w:szCs w:val="40"/>
              <w:lang w:val="en-US" w:eastAsia="zh-CN" w:bidi="ar-SA"/>
            </w:rPr>
            <w:t>技术参数</w:t>
          </w:r>
          <w:r>
            <w:rPr>
              <w:sz w:val="28"/>
              <w:szCs w:val="28"/>
            </w:rPr>
            <w:tab/>
          </w:r>
          <w:r>
            <w:rPr>
              <w:sz w:val="28"/>
              <w:szCs w:val="28"/>
            </w:rPr>
            <w:fldChar w:fldCharType="begin"/>
          </w:r>
          <w:r>
            <w:rPr>
              <w:sz w:val="28"/>
              <w:szCs w:val="28"/>
            </w:rPr>
            <w:instrText xml:space="preserve"> PAGEREF _Toc23174 </w:instrText>
          </w:r>
          <w:r>
            <w:rPr>
              <w:sz w:val="28"/>
              <w:szCs w:val="28"/>
            </w:rPr>
            <w:fldChar w:fldCharType="separate"/>
          </w:r>
          <w:r>
            <w:rPr>
              <w:sz w:val="28"/>
              <w:szCs w:val="28"/>
            </w:rPr>
            <w:t>22</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_Toc15464 </w:instrText>
          </w:r>
          <w:r>
            <w:rPr>
              <w:rFonts w:ascii="宋体" w:hAnsi="宋体"/>
              <w:sz w:val="28"/>
              <w:szCs w:val="52"/>
            </w:rPr>
            <w:fldChar w:fldCharType="separate"/>
          </w:r>
          <w:r>
            <w:rPr>
              <w:rFonts w:hint="eastAsia" w:asciiTheme="minorEastAsia" w:hAnsiTheme="minorEastAsia" w:eastAsiaTheme="minorEastAsia" w:cstheme="minorEastAsia"/>
              <w:sz w:val="28"/>
              <w:szCs w:val="48"/>
            </w:rPr>
            <w:t>第</w:t>
          </w:r>
          <w:r>
            <w:rPr>
              <w:rFonts w:hint="eastAsia" w:asciiTheme="minorEastAsia" w:hAnsiTheme="minorEastAsia" w:eastAsiaTheme="minorEastAsia" w:cstheme="minorEastAsia"/>
              <w:sz w:val="28"/>
              <w:szCs w:val="48"/>
              <w:lang w:val="en-US" w:eastAsia="zh-CN"/>
            </w:rPr>
            <w:t>四</w:t>
          </w:r>
          <w:r>
            <w:rPr>
              <w:rFonts w:hint="eastAsia" w:asciiTheme="minorEastAsia" w:hAnsiTheme="minorEastAsia" w:eastAsiaTheme="minorEastAsia" w:cstheme="minorEastAsia"/>
              <w:sz w:val="28"/>
              <w:szCs w:val="48"/>
            </w:rPr>
            <w:t xml:space="preserve">章 </w:t>
          </w:r>
          <w:r>
            <w:rPr>
              <w:rFonts w:hint="eastAsia" w:ascii="宋体" w:hAnsi="宋体" w:cs="宋体"/>
              <w:sz w:val="28"/>
              <w:szCs w:val="28"/>
            </w:rPr>
            <w:t>合同</w:t>
          </w:r>
          <w:r>
            <w:rPr>
              <w:sz w:val="28"/>
              <w:szCs w:val="28"/>
            </w:rPr>
            <w:tab/>
          </w:r>
          <w:r>
            <w:rPr>
              <w:sz w:val="28"/>
              <w:szCs w:val="28"/>
            </w:rPr>
            <w:fldChar w:fldCharType="begin"/>
          </w:r>
          <w:r>
            <w:rPr>
              <w:sz w:val="28"/>
              <w:szCs w:val="28"/>
            </w:rPr>
            <w:instrText xml:space="preserve"> PAGEREF _Toc15464 </w:instrText>
          </w:r>
          <w:r>
            <w:rPr>
              <w:sz w:val="28"/>
              <w:szCs w:val="28"/>
            </w:rPr>
            <w:fldChar w:fldCharType="separate"/>
          </w:r>
          <w:r>
            <w:rPr>
              <w:sz w:val="28"/>
              <w:szCs w:val="28"/>
            </w:rPr>
            <w:t>24</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r>
            <w:rPr>
              <w:rFonts w:ascii="宋体" w:hAnsi="宋体"/>
              <w:color w:val="000000" w:themeColor="text1"/>
              <w:sz w:val="28"/>
              <w:szCs w:val="52"/>
              <w14:textFill>
                <w14:solidFill>
                  <w14:schemeClr w14:val="tx1"/>
                </w14:solidFill>
              </w14:textFill>
            </w:rPr>
            <w:fldChar w:fldCharType="begin"/>
          </w:r>
          <w:r>
            <w:rPr>
              <w:rFonts w:ascii="宋体" w:hAnsi="宋体"/>
              <w:sz w:val="28"/>
              <w:szCs w:val="52"/>
            </w:rPr>
            <w:instrText xml:space="preserve"> HYPERLINK \l _Toc10926 </w:instrText>
          </w:r>
          <w:r>
            <w:rPr>
              <w:rFonts w:ascii="宋体" w:hAnsi="宋体"/>
              <w:sz w:val="28"/>
              <w:szCs w:val="52"/>
            </w:rPr>
            <w:fldChar w:fldCharType="separate"/>
          </w:r>
          <w:r>
            <w:rPr>
              <w:rFonts w:hint="default" w:ascii="宋体" w:hAnsi="宋体"/>
              <w:sz w:val="28"/>
              <w:szCs w:val="44"/>
            </w:rPr>
            <w:t xml:space="preserve">第五章 </w:t>
          </w:r>
          <w:r>
            <w:rPr>
              <w:rFonts w:hint="eastAsia" w:ascii="宋体" w:hAnsi="宋体"/>
              <w:sz w:val="28"/>
              <w:szCs w:val="44"/>
            </w:rPr>
            <w:t>投标文件格式</w:t>
          </w:r>
          <w:r>
            <w:rPr>
              <w:sz w:val="28"/>
              <w:szCs w:val="28"/>
            </w:rPr>
            <w:tab/>
          </w:r>
          <w:r>
            <w:rPr>
              <w:sz w:val="28"/>
              <w:szCs w:val="28"/>
            </w:rPr>
            <w:fldChar w:fldCharType="begin"/>
          </w:r>
          <w:r>
            <w:rPr>
              <w:sz w:val="28"/>
              <w:szCs w:val="28"/>
            </w:rPr>
            <w:instrText xml:space="preserve"> PAGEREF _Toc10926 </w:instrText>
          </w:r>
          <w:r>
            <w:rPr>
              <w:sz w:val="28"/>
              <w:szCs w:val="28"/>
            </w:rPr>
            <w:fldChar w:fldCharType="separate"/>
          </w:r>
          <w:r>
            <w:rPr>
              <w:sz w:val="28"/>
              <w:szCs w:val="28"/>
            </w:rPr>
            <w:t>30</w:t>
          </w:r>
          <w:r>
            <w:rPr>
              <w:sz w:val="28"/>
              <w:szCs w:val="28"/>
            </w:rPr>
            <w:fldChar w:fldCharType="end"/>
          </w:r>
          <w:r>
            <w:rPr>
              <w:rFonts w:ascii="宋体" w:hAnsi="宋体"/>
              <w:color w:val="000000" w:themeColor="text1"/>
              <w:sz w:val="28"/>
              <w:szCs w:val="52"/>
              <w14:textFill>
                <w14:solidFill>
                  <w14:schemeClr w14:val="tx1"/>
                </w14:solidFill>
              </w14:textFill>
            </w:rPr>
            <w:fldChar w:fldCharType="end"/>
          </w:r>
        </w:p>
        <w:p>
          <w:pPr>
            <w:pStyle w:val="163"/>
            <w:tabs>
              <w:tab w:val="right" w:leader="dot" w:pos="9298"/>
            </w:tabs>
            <w:rPr>
              <w:sz w:val="28"/>
              <w:szCs w:val="28"/>
            </w:rPr>
          </w:pPr>
        </w:p>
        <w:p>
          <w:pPr>
            <w:ind w:left="1079" w:leftChars="514" w:firstLine="1120" w:firstLineChars="350"/>
            <w:rPr>
              <w:rFonts w:ascii="宋体" w:hAnsi="宋体"/>
              <w:color w:val="000000" w:themeColor="text1"/>
              <w:sz w:val="36"/>
              <w:szCs w:val="36"/>
              <w14:textFill>
                <w14:solidFill>
                  <w14:schemeClr w14:val="tx1"/>
                </w14:solidFill>
              </w14:textFill>
            </w:rPr>
          </w:pPr>
          <w:r>
            <w:rPr>
              <w:rFonts w:ascii="宋体" w:hAnsi="宋体"/>
              <w:color w:val="000000" w:themeColor="text1"/>
              <w:sz w:val="32"/>
              <w:szCs w:val="52"/>
              <w14:textFill>
                <w14:solidFill>
                  <w14:schemeClr w14:val="tx1"/>
                </w14:solidFill>
              </w14:textFill>
            </w:rPr>
            <w:fldChar w:fldCharType="end"/>
          </w:r>
        </w:p>
      </w:sdtContent>
    </w:sdt>
    <w:p>
      <w:pPr>
        <w:ind w:left="1079" w:leftChars="514" w:firstLine="1260" w:firstLineChars="350"/>
        <w:rPr>
          <w:rFonts w:ascii="宋体" w:hAnsi="宋体"/>
          <w:color w:val="000000" w:themeColor="text1"/>
          <w:sz w:val="36"/>
          <w:szCs w:val="36"/>
          <w14:textFill>
            <w14:solidFill>
              <w14:schemeClr w14:val="tx1"/>
            </w14:solidFill>
          </w14:textFill>
        </w:rPr>
      </w:pPr>
    </w:p>
    <w:p>
      <w:pPr>
        <w:ind w:left="1079" w:leftChars="514" w:firstLine="1260" w:firstLineChars="350"/>
        <w:rPr>
          <w:rFonts w:ascii="宋体" w:hAnsi="宋体"/>
          <w:color w:val="000000" w:themeColor="text1"/>
          <w:sz w:val="36"/>
          <w:szCs w:val="36"/>
          <w14:textFill>
            <w14:solidFill>
              <w14:schemeClr w14:val="tx1"/>
            </w14:solidFill>
          </w14:textFill>
        </w:rPr>
      </w:pPr>
    </w:p>
    <w:p>
      <w:pPr>
        <w:ind w:left="1079" w:leftChars="514" w:firstLine="1260" w:firstLineChars="35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firstLine="72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p>
      <w:pPr>
        <w:pStyle w:val="20"/>
        <w:ind w:left="0" w:leftChars="0" w:firstLine="0" w:firstLineChars="0"/>
        <w:rPr>
          <w:rFonts w:ascii="宋体" w:hAnsi="宋体"/>
          <w:color w:val="000000" w:themeColor="text1"/>
          <w:sz w:val="36"/>
          <w:szCs w:val="36"/>
          <w14:textFill>
            <w14:solidFill>
              <w14:schemeClr w14:val="tx1"/>
            </w14:solidFill>
          </w14:textFill>
        </w:rPr>
      </w:pPr>
    </w:p>
    <w:p>
      <w:pPr>
        <w:ind w:left="0" w:firstLine="0" w:firstLineChars="0"/>
        <w:jc w:val="center"/>
        <w:outlineLvl w:val="0"/>
        <w:rPr>
          <w:rFonts w:hint="eastAsia" w:ascii="宋体" w:hAnsi="宋体"/>
          <w:color w:val="000000" w:themeColor="text1"/>
          <w:sz w:val="48"/>
          <w:szCs w:val="48"/>
          <w14:textFill>
            <w14:solidFill>
              <w14:schemeClr w14:val="tx1"/>
            </w14:solidFill>
          </w14:textFill>
        </w:rPr>
      </w:pPr>
      <w:bookmarkStart w:id="11" w:name="_Toc22007"/>
    </w:p>
    <w:p>
      <w:pPr>
        <w:ind w:left="0" w:firstLine="0" w:firstLineChars="0"/>
        <w:jc w:val="center"/>
        <w:outlineLvl w:val="0"/>
        <w:rPr>
          <w:rFonts w:hint="eastAsia" w:ascii="宋体" w:hAnsi="宋体"/>
          <w:color w:val="000000" w:themeColor="text1"/>
          <w:sz w:val="48"/>
          <w:szCs w:val="48"/>
          <w14:textFill>
            <w14:solidFill>
              <w14:schemeClr w14:val="tx1"/>
            </w14:solidFill>
          </w14:textFill>
        </w:rPr>
      </w:pPr>
    </w:p>
    <w:p>
      <w:pPr>
        <w:ind w:left="0" w:firstLine="0" w:firstLineChars="0"/>
        <w:jc w:val="center"/>
        <w:outlineLvl w:val="0"/>
        <w:rPr>
          <w:rFonts w:hint="default" w:ascii="宋体" w:hAnsi="宋体" w:eastAsia="宋体" w:cs="宋体"/>
          <w:b w:val="0"/>
          <w:bCs w:val="0"/>
          <w:color w:val="auto"/>
          <w:sz w:val="20"/>
          <w:szCs w:val="20"/>
          <w:highlight w:val="none"/>
          <w:lang w:val="en-US" w:eastAsia="zh-CN"/>
        </w:rPr>
      </w:pPr>
      <w:r>
        <w:rPr>
          <w:rFonts w:hint="eastAsia" w:ascii="宋体" w:hAnsi="宋体"/>
          <w:b/>
          <w:sz w:val="28"/>
          <w:szCs w:val="28"/>
        </w:rPr>
        <w:t>第一章招标公告</w:t>
      </w:r>
      <w:bookmarkEnd w:id="0"/>
      <w:bookmarkEnd w:id="1"/>
      <w:bookmarkEnd w:id="2"/>
      <w:bookmarkEnd w:id="3"/>
      <w:bookmarkEnd w:id="4"/>
      <w:bookmarkEnd w:id="5"/>
      <w:bookmarkEnd w:id="6"/>
      <w:bookmarkEnd w:id="7"/>
      <w:bookmarkEnd w:id="8"/>
      <w:bookmarkEnd w:id="9"/>
      <w:bookmarkEnd w:id="10"/>
      <w:bookmarkEnd w:id="11"/>
      <w:r>
        <w:rPr>
          <w:rFonts w:hint="eastAsia" w:ascii="宋体" w:hAnsi="宋体"/>
          <w:b/>
          <w:sz w:val="28"/>
          <w:szCs w:val="28"/>
          <w:lang w:val="en-US" w:eastAsia="zh-CN"/>
        </w:rPr>
        <w:t xml:space="preserve">  </w:t>
      </w:r>
      <w:r>
        <w:rPr>
          <w:rFonts w:hint="eastAsia" w:ascii="宋体" w:hAnsi="宋体" w:cs="宋体"/>
          <w:b w:val="0"/>
          <w:bCs w:val="0"/>
          <w:color w:val="auto"/>
          <w:sz w:val="18"/>
          <w:szCs w:val="18"/>
          <w:highlight w:val="none"/>
          <w:lang w:val="en-US" w:eastAsia="zh-CN"/>
        </w:rPr>
        <w:t xml:space="preserve">                                                             </w:t>
      </w:r>
    </w:p>
    <w:p>
      <w:pPr>
        <w:widowControl/>
        <w:spacing w:line="320" w:lineRule="exact"/>
        <w:ind w:left="141" w:hanging="141"/>
        <w:jc w:val="center"/>
        <w:rPr>
          <w:rFonts w:hint="eastAsia" w:ascii="宋体" w:hAnsi="宋体"/>
          <w:b/>
          <w:sz w:val="32"/>
          <w:szCs w:val="32"/>
        </w:rPr>
      </w:pPr>
      <w:r>
        <w:rPr>
          <w:rFonts w:hint="eastAsia" w:ascii="宋体" w:hAnsi="宋体"/>
          <w:b/>
          <w:sz w:val="32"/>
          <w:szCs w:val="32"/>
          <w:lang w:val="en-US" w:eastAsia="zh-CN"/>
        </w:rPr>
        <w:t>和田市</w:t>
      </w:r>
      <w:r>
        <w:rPr>
          <w:rFonts w:hint="eastAsia" w:ascii="宋体" w:hAnsi="宋体"/>
          <w:b/>
          <w:sz w:val="32"/>
          <w:szCs w:val="32"/>
        </w:rPr>
        <w:t>农村房屋安全性鉴定工作采购项目</w:t>
      </w:r>
    </w:p>
    <w:p>
      <w:pPr>
        <w:widowControl/>
        <w:spacing w:line="320" w:lineRule="exact"/>
        <w:ind w:left="141" w:hanging="141"/>
        <w:jc w:val="center"/>
        <w:rPr>
          <w:rFonts w:hint="eastAsia" w:ascii="宋体" w:hAnsi="宋体"/>
          <w:b/>
          <w:sz w:val="32"/>
          <w:szCs w:val="32"/>
        </w:rPr>
      </w:pPr>
      <w:r>
        <w:rPr>
          <w:rFonts w:hint="eastAsia" w:ascii="宋体" w:hAnsi="宋体"/>
          <w:b/>
          <w:sz w:val="32"/>
          <w:szCs w:val="32"/>
        </w:rPr>
        <w:t>公开招标公告</w:t>
      </w:r>
    </w:p>
    <w:p>
      <w:pPr>
        <w:pStyle w:val="162"/>
        <w:keepNext w:val="0"/>
        <w:keepLines w:val="0"/>
        <w:widowControl w:val="0"/>
        <w:shd w:val="clear" w:color="auto" w:fill="auto"/>
        <w:bidi w:val="0"/>
        <w:spacing w:before="0" w:after="0" w:line="427" w:lineRule="exact"/>
        <w:ind w:left="360" w:right="0" w:firstLine="480"/>
        <w:jc w:val="both"/>
        <w:rPr>
          <w:rFonts w:hint="eastAsia" w:asciiTheme="minorEastAsia" w:hAnsiTheme="minorEastAsia" w:eastAsiaTheme="minorEastAsia" w:cstheme="minorEastAsia"/>
          <w:color w:val="auto"/>
          <w:kern w:val="2"/>
          <w:sz w:val="21"/>
          <w:szCs w:val="21"/>
          <w:highlight w:val="none"/>
          <w:u w:val="none"/>
          <w:shd w:val="clear"/>
          <w:lang w:val="en-US" w:eastAsia="zh-CN" w:bidi="ar-SA"/>
        </w:rPr>
      </w:pPr>
      <w:r>
        <w:rPr>
          <w:rFonts w:hint="eastAsia" w:asciiTheme="minorEastAsia" w:hAnsiTheme="minorEastAsia" w:eastAsiaTheme="minorEastAsia" w:cstheme="minorEastAsia"/>
          <w:color w:val="auto"/>
          <w:kern w:val="2"/>
          <w:sz w:val="21"/>
          <w:szCs w:val="21"/>
          <w:highlight w:val="none"/>
          <w:u w:val="none"/>
          <w:shd w:val="clear"/>
          <w:lang w:val="en-US" w:eastAsia="zh-CN" w:bidi="ar-SA"/>
        </w:rPr>
        <w:t>根据《中华人民共和国政府采购法》等有关法律法规规定，新疆天麒工程项目管理咨询有限责任公司受和田市住房和城乡建设局的委托，对</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kern w:val="2"/>
          <w:sz w:val="21"/>
          <w:szCs w:val="21"/>
          <w:highlight w:val="none"/>
          <w:u w:val="none"/>
          <w:shd w:val="clear"/>
          <w:lang w:val="en-US" w:eastAsia="zh-CN" w:bidi="ar-SA"/>
        </w:rPr>
        <w:t>进行公开招标：</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一、采购项目编号：</w:t>
      </w:r>
      <w:r>
        <w:rPr>
          <w:rFonts w:hint="eastAsia" w:asciiTheme="minorEastAsia" w:hAnsiTheme="minorEastAsia" w:eastAsiaTheme="minorEastAsia" w:cstheme="minorEastAsia"/>
          <w:color w:val="auto"/>
          <w:sz w:val="21"/>
          <w:szCs w:val="21"/>
          <w:highlight w:val="none"/>
          <w:shd w:val="clear" w:color="auto" w:fill="auto"/>
          <w:lang w:val="en-US" w:eastAsia="zh-CN"/>
        </w:rPr>
        <w:t>TQHTFGS-HT-2020-29</w:t>
      </w:r>
      <w:r>
        <w:rPr>
          <w:rFonts w:hint="eastAsia" w:asciiTheme="minorEastAsia" w:hAnsiTheme="minorEastAsia" w:eastAsiaTheme="minorEastAsia" w:cstheme="minorEastAsia"/>
          <w:color w:val="auto"/>
          <w:sz w:val="21"/>
          <w:szCs w:val="21"/>
          <w:highlight w:val="none"/>
          <w:shd w:val="clear" w:color="auto" w:fill="auto"/>
        </w:rPr>
        <w:t>号</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二、采购组织类型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分散采购-分散委托中介</w:t>
      </w:r>
    </w:p>
    <w:p>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三、采购项目概况：</w:t>
      </w:r>
    </w:p>
    <w:tbl>
      <w:tblPr>
        <w:tblStyle w:val="70"/>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1"/>
        <w:gridCol w:w="2205"/>
        <w:gridCol w:w="1124"/>
        <w:gridCol w:w="1516"/>
        <w:gridCol w:w="2729"/>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4"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标项名称</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项目地点</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户数合计</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预算金额(元)</w:t>
            </w:r>
          </w:p>
        </w:tc>
        <w:tc>
          <w:tcPr>
            <w:tcW w:w="2729"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ind w:firstLine="420" w:firstLineChars="20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简要规格描述</w:t>
            </w:r>
          </w:p>
        </w:tc>
        <w:tc>
          <w:tcPr>
            <w:tcW w:w="792"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15"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sz w:val="21"/>
                <w:szCs w:val="21"/>
                <w:highlight w:val="none"/>
                <w:lang w:val="en-US" w:eastAsia="zh-CN"/>
              </w:rPr>
              <w:t>包一</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阿克恰勒乡、吉亚乡、吐沙拉镇、伊里其乡、夏玛勒巴格片区</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26319户</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2633926.60</w:t>
            </w:r>
          </w:p>
        </w:tc>
        <w:tc>
          <w:tcPr>
            <w:tcW w:w="2729" w:type="dxa"/>
            <w:vMerge w:val="restart"/>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和田市5.3万户农户院内所有房屋进行安全性鉴定，房屋结构安全隐患排查、检测等，主要对房屋结构安全状况进行鉴别、评定，为房屋安全鉴定和管理提供技术支撑。为采购人提供科学、可靠、有效的检测数据和检测报告。每户计划鉴定费用为100元。</w:t>
            </w:r>
          </w:p>
        </w:tc>
        <w:tc>
          <w:tcPr>
            <w:tcW w:w="792" w:type="dxa"/>
            <w:vMerge w:val="restart"/>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具体参数详见招标文件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5" w:hRule="atLeast"/>
          <w:jc w:val="center"/>
        </w:trPr>
        <w:tc>
          <w:tcPr>
            <w:tcW w:w="1741"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color w:val="auto"/>
                <w:sz w:val="21"/>
                <w:szCs w:val="21"/>
                <w:highlight w:val="none"/>
                <w:lang w:val="en-US" w:eastAsia="zh-CN"/>
              </w:rPr>
              <w:t>包二</w:t>
            </w: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w:t>
            </w:r>
          </w:p>
        </w:tc>
        <w:tc>
          <w:tcPr>
            <w:tcW w:w="2205"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古江巴格乡、拉斯奎镇、肖尔巴格乡、玉龙喀什镇、古江巴格街道、古勒巴格街道、纳尔巴格街道</w:t>
            </w:r>
          </w:p>
        </w:tc>
        <w:tc>
          <w:tcPr>
            <w:tcW w:w="1124"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26640户</w:t>
            </w:r>
          </w:p>
        </w:tc>
        <w:tc>
          <w:tcPr>
            <w:tcW w:w="1516" w:type="dxa"/>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2666051.30</w:t>
            </w:r>
          </w:p>
        </w:tc>
        <w:tc>
          <w:tcPr>
            <w:tcW w:w="2729" w:type="dxa"/>
            <w:vMerge w:val="continue"/>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p>
        </w:tc>
        <w:tc>
          <w:tcPr>
            <w:tcW w:w="792" w:type="dxa"/>
            <w:vMerge w:val="continue"/>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cstheme="minorEastAsia"/>
                <w:color w:val="auto"/>
                <w:sz w:val="21"/>
                <w:szCs w:val="21"/>
                <w:highlight w:val="none"/>
                <w:lang w:val="en-US" w:eastAsia="zh-CN"/>
              </w:rPr>
            </w:pPr>
          </w:p>
        </w:tc>
      </w:tr>
    </w:tbl>
    <w:p>
      <w:pPr>
        <w:keepNext w:val="0"/>
        <w:keepLines w:val="0"/>
        <w:pageBreakBefore w:val="0"/>
        <w:widowControl/>
        <w:kinsoku/>
        <w:wordWrap/>
        <w:overflowPunct/>
        <w:topLinePunct w:val="0"/>
        <w:autoSpaceDE/>
        <w:autoSpaceDN/>
        <w:bidi w:val="0"/>
        <w:adjustRightInd/>
        <w:snapToGrid/>
        <w:spacing w:before="75" w:after="75" w:line="34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四、投标供应商资格要求:</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宋体" w:hAnsi="宋体" w:eastAsia="宋体" w:cs="宋体"/>
          <w:sz w:val="21"/>
          <w:szCs w:val="21"/>
          <w:highlight w:val="none"/>
        </w:rPr>
        <w:t>供应商必须符合《中华人民共和国政府采购法》第二十二条规定：具有独立法人资格，有独立承担民事行为责任的能力；能</w:t>
      </w:r>
      <w:r>
        <w:rPr>
          <w:rFonts w:hint="eastAsia" w:ascii="宋体" w:hAnsi="宋体" w:cs="宋体"/>
          <w:sz w:val="21"/>
          <w:szCs w:val="21"/>
          <w:highlight w:val="none"/>
          <w:lang w:val="en-US" w:eastAsia="zh-CN"/>
        </w:rPr>
        <w:t>承担</w:t>
      </w:r>
      <w:r>
        <w:rPr>
          <w:rFonts w:hint="eastAsia" w:ascii="宋体" w:hAnsi="宋体" w:eastAsia="宋体" w:cs="宋体"/>
          <w:sz w:val="21"/>
          <w:szCs w:val="21"/>
          <w:highlight w:val="none"/>
        </w:rPr>
        <w:t>本项目全部服务的投标人；</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2、投标人需具备</w:t>
      </w:r>
      <w:r>
        <w:rPr>
          <w:rFonts w:hint="eastAsia" w:asciiTheme="minorEastAsia" w:hAnsiTheme="minorEastAsia" w:eastAsiaTheme="minorEastAsia" w:cstheme="minorEastAsia"/>
          <w:color w:val="auto"/>
          <w:sz w:val="21"/>
          <w:szCs w:val="21"/>
          <w:highlight w:val="none"/>
          <w:lang w:val="en-US" w:eastAsia="zh-CN"/>
        </w:rPr>
        <w:t>有效的营业执照、税务登记证、组织机构代码证（或</w:t>
      </w:r>
      <w:r>
        <w:rPr>
          <w:rFonts w:hint="eastAsia" w:asciiTheme="minorEastAsia" w:hAnsiTheme="minorEastAsia" w:eastAsiaTheme="minorEastAsia" w:cstheme="minorEastAsia"/>
          <w:color w:val="auto"/>
          <w:sz w:val="21"/>
          <w:szCs w:val="21"/>
          <w:highlight w:val="none"/>
        </w:rPr>
        <w:t>三证合一营业执照</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，法人委托人须携带法人代表授权书原件及委托人身份证原件(授权书需附法人身份证及委托人身份证复印件)</w:t>
      </w:r>
      <w:r>
        <w:rPr>
          <w:rFonts w:hint="eastAsia" w:asciiTheme="minorEastAsia" w:hAnsiTheme="minorEastAsia" w:eastAsiaTheme="minorEastAsia" w:cstheme="minorEastAsia"/>
          <w:color w:val="auto"/>
          <w:sz w:val="21"/>
          <w:szCs w:val="21"/>
          <w:highlight w:val="none"/>
          <w:lang w:eastAsia="zh-CN"/>
        </w:rPr>
        <w:t>；被授权委托人在本单位缴纳的近</w:t>
      </w:r>
      <w:r>
        <w:rPr>
          <w:rFonts w:hint="eastAsia" w:asciiTheme="minorEastAsia" w:hAnsiTheme="minorEastAsia" w:eastAsiaTheme="minorEastAsia" w:cstheme="minorEastAsia"/>
          <w:color w:val="auto"/>
          <w:sz w:val="21"/>
          <w:szCs w:val="21"/>
          <w:highlight w:val="none"/>
          <w:lang w:val="en-US" w:eastAsia="zh-CN"/>
        </w:rPr>
        <w:t>六</w:t>
      </w:r>
      <w:r>
        <w:rPr>
          <w:rFonts w:hint="eastAsia" w:asciiTheme="minorEastAsia" w:hAnsiTheme="minorEastAsia" w:eastAsiaTheme="minorEastAsia" w:cstheme="minorEastAsia"/>
          <w:color w:val="auto"/>
          <w:sz w:val="21"/>
          <w:szCs w:val="21"/>
          <w:highlight w:val="none"/>
          <w:lang w:eastAsia="zh-CN"/>
        </w:rPr>
        <w:t>个月内社保缴纳证明（社保缴费凭证原件和个人明细表）；</w:t>
      </w:r>
    </w:p>
    <w:p>
      <w:pPr>
        <w:pStyle w:val="2"/>
        <w:ind w:firstLine="420" w:firstLineChars="200"/>
        <w:rPr>
          <w:rFonts w:hint="eastAsia"/>
          <w:lang w:eastAsia="zh-CN"/>
        </w:rPr>
      </w:pPr>
      <w:r>
        <w:rPr>
          <w:rFonts w:hint="eastAsia"/>
          <w:lang w:val="en-US" w:eastAsia="zh-CN"/>
        </w:rPr>
        <w:t>3、建设工程质量检测机构资质证书（须包含主体结构工程检测等专项检测）原件；</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具有良好的商业信誉和健全的财务会计制度（提供近一年度财务审计报告）；</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凡拟参加本次招标项目的投标人，如在“信用中国”网站(WWW.creditchina.gov.cn)、中国政府釆购网(www.ccgp.gov.cn)、国家企业信用信息公示系统(http://www.gsxt.gov.cn)</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中国裁判文书网（http://wenshu.court.gov.cn/）</w:t>
      </w:r>
      <w:r>
        <w:rPr>
          <w:rFonts w:hint="eastAsia" w:ascii="宋体" w:hAnsi="宋体" w:eastAsia="宋体" w:cs="宋体"/>
          <w:sz w:val="21"/>
          <w:szCs w:val="21"/>
          <w:highlight w:val="none"/>
        </w:rPr>
        <w:t>被列入失信被执行人、重大税收违法案件当事人名单、政府采购严重违法失信行为记录名单的(尚在处罚期内的)、经营异常名录的，将拒绝其参与本次政府釆购活动</w:t>
      </w:r>
      <w:r>
        <w:rPr>
          <w:rFonts w:hint="eastAsia" w:ascii="宋体" w:hAnsi="宋体" w:cs="宋体"/>
          <w:sz w:val="21"/>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本项目不接受联合体投标。</w:t>
      </w:r>
    </w:p>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五、招标文件的报名/发售时间、地址、售价:</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报名（发售／获取）地址：在符合该招标（采购）公告投标人资格要求条件的前提下，可于本公告发布之日起在新疆政府采购网（http://www.ccgp-xinjiang.gov.cn/）及和田市人民政府网（https://www.hts.gov.cn/）的该采购公告附件中直接下载招标（采购）文件并参与投标，不再需要报名，在开标时一并进行资格审核。</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招标文件</w:t>
      </w:r>
      <w:r>
        <w:rPr>
          <w:rFonts w:hint="eastAsia" w:ascii="宋体" w:hAnsi="宋体" w:eastAsia="宋体" w:cs="宋体"/>
          <w:sz w:val="21"/>
          <w:szCs w:val="21"/>
          <w:highlight w:val="none"/>
        </w:rPr>
        <w:t>售价(元)：</w:t>
      </w:r>
      <w:r>
        <w:rPr>
          <w:rFonts w:hint="eastAsia" w:ascii="宋体" w:hAnsi="宋体" w:eastAsia="宋体" w:cs="宋体"/>
          <w:sz w:val="21"/>
          <w:szCs w:val="21"/>
          <w:highlight w:val="none"/>
          <w:lang w:val="en-US" w:eastAsia="zh-CN"/>
        </w:rPr>
        <w:t>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3、投标人购买标书时应提交的资料：无，在开标时一并进行资格审核（详见投标供应商资格）</w:t>
      </w:r>
    </w:p>
    <w:p>
      <w:pPr>
        <w:keepNext w:val="0"/>
        <w:keepLines w:val="0"/>
        <w:pageBreakBefore w:val="0"/>
        <w:widowControl/>
        <w:kinsoku/>
        <w:wordWrap/>
        <w:overflowPunct/>
        <w:topLinePunct w:val="0"/>
        <w:autoSpaceDE/>
        <w:autoSpaceDN/>
        <w:bidi w:val="0"/>
        <w:adjustRightInd/>
        <w:snapToGrid/>
        <w:spacing w:before="75" w:after="75"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六、投标截止时间：20</w:t>
      </w:r>
      <w:r>
        <w:rPr>
          <w:rFonts w:hint="eastAsia" w:asciiTheme="minorEastAsia" w:hAnsiTheme="minorEastAsia" w:eastAsiaTheme="minorEastAsia" w:cstheme="minorEastAsia"/>
          <w:color w:val="auto"/>
          <w:sz w:val="21"/>
          <w:szCs w:val="21"/>
          <w:highlight w:val="none"/>
          <w:lang w:val="en-US" w:eastAsia="zh-CN"/>
        </w:rPr>
        <w:t>20年6月03日</w:t>
      </w:r>
      <w:r>
        <w:rPr>
          <w:rFonts w:hint="eastAsia" w:asciiTheme="minorEastAsia" w:hAnsiTheme="minorEastAsia" w:eastAsiaTheme="minorEastAsia" w:cstheme="minorEastAsia"/>
          <w:color w:val="auto"/>
          <w:sz w:val="21"/>
          <w:szCs w:val="21"/>
          <w:highlight w:val="none"/>
        </w:rPr>
        <w:t xml:space="preserve"> 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:00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七、投标地址：</w:t>
      </w:r>
      <w:r>
        <w:rPr>
          <w:rFonts w:hint="eastAsia" w:asciiTheme="minorEastAsia" w:hAnsiTheme="minorEastAsia" w:eastAsiaTheme="minorEastAsia" w:cstheme="minorEastAsia"/>
          <w:color w:val="auto"/>
          <w:sz w:val="21"/>
          <w:szCs w:val="21"/>
          <w:highlight w:val="none"/>
          <w:lang w:eastAsia="zh-CN"/>
        </w:rPr>
        <w:t>和田市公共资源交易中心（和田市北京工业园区滨河路10号三桥桥头处）</w:t>
      </w:r>
      <w:r>
        <w:rPr>
          <w:rFonts w:hint="eastAsia" w:asciiTheme="minorEastAsia" w:hAnsiTheme="minorEastAsia" w:eastAsiaTheme="minorEastAsia" w:cstheme="minorEastAsia"/>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八、开标时间：20</w:t>
      </w:r>
      <w:r>
        <w:rPr>
          <w:rFonts w:hint="eastAsia" w:asciiTheme="minorEastAsia" w:hAnsiTheme="minorEastAsia" w:eastAsiaTheme="minorEastAsia" w:cstheme="minorEastAsia"/>
          <w:color w:val="auto"/>
          <w:sz w:val="21"/>
          <w:szCs w:val="21"/>
          <w:highlight w:val="none"/>
          <w:lang w:val="en-US" w:eastAsia="zh-CN"/>
        </w:rPr>
        <w:t>20年6月03日</w:t>
      </w:r>
      <w:r>
        <w:rPr>
          <w:rFonts w:hint="eastAsia" w:asciiTheme="minorEastAsia" w:hAnsiTheme="minorEastAsia" w:eastAsiaTheme="minorEastAsia" w:cstheme="minorEastAsia"/>
          <w:color w:val="auto"/>
          <w:sz w:val="21"/>
          <w:szCs w:val="21"/>
          <w:highlight w:val="none"/>
        </w:rPr>
        <w:t xml:space="preserve"> 1</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:00</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九、开标地址：</w:t>
      </w:r>
      <w:r>
        <w:rPr>
          <w:rFonts w:hint="eastAsia" w:asciiTheme="minorEastAsia" w:hAnsiTheme="minorEastAsia" w:eastAsiaTheme="minorEastAsia" w:cstheme="minorEastAsia"/>
          <w:color w:val="auto"/>
          <w:sz w:val="21"/>
          <w:szCs w:val="21"/>
          <w:highlight w:val="none"/>
          <w:lang w:eastAsia="zh-CN"/>
        </w:rPr>
        <w:t>和田市公共资源交易中心（和田市北京工业园区滨河路10号三桥桥头处）</w:t>
      </w:r>
      <w:r>
        <w:rPr>
          <w:rFonts w:hint="eastAsia" w:asciiTheme="minorEastAsia" w:hAnsiTheme="minorEastAsia" w:eastAsiaTheme="minorEastAsia" w:cstheme="minorEastAsia"/>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十、投标保证金：</w:t>
      </w:r>
    </w:p>
    <w:tbl>
      <w:tblPr>
        <w:tblStyle w:val="70"/>
        <w:tblpPr w:leftFromText="180" w:rightFromText="180" w:vertAnchor="text" w:horzAnchor="page" w:tblpXSpec="center" w:tblpY="272"/>
        <w:tblOverlap w:val="never"/>
        <w:tblW w:w="98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61"/>
        <w:gridCol w:w="1923"/>
        <w:gridCol w:w="1155"/>
        <w:gridCol w:w="1110"/>
        <w:gridCol w:w="1620"/>
        <w:gridCol w:w="931"/>
        <w:gridCol w:w="2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0" w:hRule="atLeas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序号</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标项名称</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投标保证金金额（元）</w:t>
            </w:r>
          </w:p>
        </w:tc>
        <w:tc>
          <w:tcPr>
            <w:tcW w:w="1110"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开户银行</w:t>
            </w:r>
          </w:p>
        </w:tc>
        <w:tc>
          <w:tcPr>
            <w:tcW w:w="1620"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收款账号</w:t>
            </w:r>
          </w:p>
        </w:tc>
        <w:tc>
          <w:tcPr>
            <w:tcW w:w="93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交付方式</w:t>
            </w:r>
          </w:p>
        </w:tc>
        <w:tc>
          <w:tcPr>
            <w:tcW w:w="2669"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1155" w:hRule="atLeas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1</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spacing w:before="75" w:after="75"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kern w:val="0"/>
                <w:sz w:val="21"/>
                <w:szCs w:val="21"/>
                <w:highlight w:val="none"/>
                <w:lang w:val="en-US" w:eastAsia="zh-CN" w:bidi="ar"/>
              </w:rPr>
              <w:t>包一）</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52000.00</w:t>
            </w:r>
          </w:p>
        </w:tc>
        <w:tc>
          <w:tcPr>
            <w:tcW w:w="1110"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中行和田乌鲁木齐北路支行</w:t>
            </w:r>
          </w:p>
        </w:tc>
        <w:tc>
          <w:tcPr>
            <w:tcW w:w="1620"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107031722125</w:t>
            </w:r>
          </w:p>
        </w:tc>
        <w:tc>
          <w:tcPr>
            <w:tcW w:w="931"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由投标单位的基本账户转至指定账户</w:t>
            </w:r>
          </w:p>
        </w:tc>
        <w:tc>
          <w:tcPr>
            <w:tcW w:w="2669" w:type="dxa"/>
            <w:vMerge w:val="restart"/>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kern w:val="0"/>
                <w:sz w:val="21"/>
                <w:szCs w:val="21"/>
                <w:highlight w:val="none"/>
                <w:lang w:bidi="ar"/>
              </w:rPr>
              <w:t>请于2020年</w:t>
            </w:r>
            <w:r>
              <w:rPr>
                <w:rFonts w:hint="eastAsia" w:asciiTheme="minorEastAsia" w:hAnsiTheme="minorEastAsia" w:eastAsiaTheme="minorEastAsia" w:cstheme="minorEastAsia"/>
                <w:kern w:val="0"/>
                <w:sz w:val="21"/>
                <w:szCs w:val="21"/>
                <w:highlight w:val="none"/>
                <w:lang w:val="en-US" w:eastAsia="zh-CN" w:bidi="ar"/>
              </w:rPr>
              <w:t>6</w:t>
            </w:r>
            <w:r>
              <w:rPr>
                <w:rFonts w:hint="eastAsia" w:asciiTheme="minorEastAsia" w:hAnsiTheme="minorEastAsia" w:eastAsiaTheme="minorEastAsia" w:cstheme="minorEastAsia"/>
                <w:kern w:val="0"/>
                <w:sz w:val="21"/>
                <w:szCs w:val="21"/>
                <w:highlight w:val="none"/>
                <w:lang w:bidi="ar"/>
              </w:rPr>
              <w:t>月</w:t>
            </w:r>
            <w:r>
              <w:rPr>
                <w:rFonts w:hint="eastAsia" w:asciiTheme="minorEastAsia" w:hAnsiTheme="minorEastAsia" w:eastAsiaTheme="minorEastAsia" w:cstheme="minorEastAsia"/>
                <w:kern w:val="0"/>
                <w:sz w:val="21"/>
                <w:szCs w:val="21"/>
                <w:highlight w:val="none"/>
                <w:lang w:val="en-US" w:eastAsia="zh-CN" w:bidi="ar"/>
              </w:rPr>
              <w:t>02</w:t>
            </w:r>
            <w:r>
              <w:rPr>
                <w:rFonts w:hint="eastAsia" w:asciiTheme="minorEastAsia" w:hAnsiTheme="minorEastAsia" w:eastAsiaTheme="minorEastAsia" w:cstheme="minorEastAsia"/>
                <w:kern w:val="0"/>
                <w:sz w:val="21"/>
                <w:szCs w:val="21"/>
                <w:highlight w:val="none"/>
                <w:lang w:bidi="ar"/>
              </w:rPr>
              <w:t>日</w:t>
            </w:r>
            <w:r>
              <w:rPr>
                <w:rFonts w:hint="eastAsia" w:asciiTheme="minorEastAsia" w:hAnsiTheme="minorEastAsia" w:eastAsiaTheme="minorEastAsia" w:cstheme="minorEastAsia"/>
                <w:kern w:val="0"/>
                <w:sz w:val="21"/>
                <w:szCs w:val="21"/>
                <w:highlight w:val="none"/>
                <w:lang w:val="en-US" w:eastAsia="zh-CN" w:bidi="ar"/>
              </w:rPr>
              <w:t>19</w:t>
            </w:r>
            <w:r>
              <w:rPr>
                <w:rFonts w:hint="eastAsia" w:asciiTheme="minorEastAsia" w:hAnsiTheme="minorEastAsia" w:eastAsiaTheme="minorEastAsia" w:cstheme="minorEastAsia"/>
                <w:kern w:val="0"/>
                <w:sz w:val="21"/>
                <w:szCs w:val="21"/>
                <w:highlight w:val="none"/>
                <w:lang w:bidi="ar"/>
              </w:rPr>
              <w:t>:</w:t>
            </w:r>
            <w:r>
              <w:rPr>
                <w:rFonts w:hint="eastAsia" w:asciiTheme="minorEastAsia" w:hAnsiTheme="minorEastAsia" w:eastAsiaTheme="minorEastAsia" w:cstheme="minorEastAsia"/>
                <w:kern w:val="0"/>
                <w:sz w:val="21"/>
                <w:szCs w:val="21"/>
                <w:highlight w:val="none"/>
                <w:lang w:val="en-US" w:eastAsia="zh-CN" w:bidi="ar"/>
              </w:rPr>
              <w:t>3</w:t>
            </w:r>
            <w:r>
              <w:rPr>
                <w:rFonts w:hint="eastAsia" w:asciiTheme="minorEastAsia" w:hAnsiTheme="minorEastAsia" w:eastAsiaTheme="minorEastAsia" w:cstheme="minorEastAsia"/>
                <w:kern w:val="0"/>
                <w:sz w:val="21"/>
                <w:szCs w:val="21"/>
                <w:highlight w:val="none"/>
                <w:lang w:bidi="ar"/>
              </w:rPr>
              <w:t>0（北京时间）前缴入指定账户，由投标单位的基本账户转至指定账户（必须注明项目名称，无须到和田市公共资源交易中心换取收据，开标时需携带投标保证金电子回单）。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jc w:val="center"/>
        </w:trPr>
        <w:tc>
          <w:tcPr>
            <w:tcW w:w="461"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2</w:t>
            </w:r>
          </w:p>
        </w:tc>
        <w:tc>
          <w:tcPr>
            <w:tcW w:w="1923"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spacing w:before="75" w:after="75"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color w:val="000000" w:themeColor="text1"/>
                <w:kern w:val="2"/>
                <w:sz w:val="21"/>
                <w:szCs w:val="21"/>
                <w:highlight w:val="none"/>
                <w:u w:val="none"/>
                <w:shd w:val="clear"/>
                <w:lang w:val="en-US" w:eastAsia="zh-CN" w:bidi="ar-SA"/>
                <w14:textFill>
                  <w14:solidFill>
                    <w14:schemeClr w14:val="tx1"/>
                  </w14:solidFill>
                </w14:textFill>
              </w:rPr>
              <w:t>和田市农村房屋安全性鉴定工作采购项目（</w:t>
            </w:r>
            <w:r>
              <w:rPr>
                <w:rFonts w:hint="eastAsia" w:asciiTheme="minorEastAsia" w:hAnsiTheme="minorEastAsia" w:eastAsiaTheme="minorEastAsia" w:cstheme="minorEastAsia"/>
                <w:kern w:val="0"/>
                <w:sz w:val="21"/>
                <w:szCs w:val="21"/>
                <w:highlight w:val="none"/>
                <w:lang w:val="en-US" w:eastAsia="zh-CN" w:bidi="ar"/>
              </w:rPr>
              <w:t>包二）</w:t>
            </w:r>
          </w:p>
        </w:tc>
        <w:tc>
          <w:tcPr>
            <w:tcW w:w="1155" w:type="dxa"/>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53000.00</w:t>
            </w:r>
          </w:p>
        </w:tc>
        <w:tc>
          <w:tcPr>
            <w:tcW w:w="1110"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1620"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931"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c>
          <w:tcPr>
            <w:tcW w:w="2669" w:type="dxa"/>
            <w:vMerge w:val="continue"/>
            <w:tcBorders>
              <w:tl2br w:val="nil"/>
              <w:tr2bl w:val="nil"/>
            </w:tcBorders>
            <w:tcMar>
              <w:top w:w="60" w:type="dxa"/>
              <w:left w:w="120" w:type="dxa"/>
              <w:bottom w:w="60" w:type="dxa"/>
              <w:right w:w="120" w:type="dxa"/>
            </w:tcMar>
            <w:vAlign w:val="center"/>
          </w:tcPr>
          <w:p>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eastAsia" w:asciiTheme="minorEastAsia" w:hAnsiTheme="minorEastAsia" w:eastAsiaTheme="minorEastAsia" w:cstheme="minorEastAsia"/>
                <w:kern w:val="0"/>
                <w:sz w:val="21"/>
                <w:szCs w:val="21"/>
                <w:highlight w:val="none"/>
                <w:lang w:bidi="ar"/>
              </w:rPr>
            </w:pPr>
          </w:p>
        </w:tc>
      </w:tr>
    </w:tbl>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十一、其他事项：</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公告期限为5个工作日，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十二、联系方式</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1、采购代理机构名称：</w:t>
      </w:r>
      <w:r>
        <w:rPr>
          <w:rFonts w:hint="eastAsia" w:asciiTheme="minorEastAsia" w:hAnsiTheme="minorEastAsia" w:eastAsiaTheme="minorEastAsia" w:cstheme="minorEastAsia"/>
          <w:color w:val="auto"/>
          <w:sz w:val="21"/>
          <w:szCs w:val="21"/>
          <w:highlight w:val="none"/>
          <w:lang w:val="en-US" w:eastAsia="zh-CN"/>
        </w:rPr>
        <w:t>新疆天麒工程项目管理咨询有限责任公司</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 xml:space="preserve">翟彦飞                    </w:t>
      </w:r>
      <w:r>
        <w:rPr>
          <w:rFonts w:hint="eastAsia" w:asciiTheme="minorEastAsia" w:hAnsiTheme="minorEastAsia" w:eastAsiaTheme="minorEastAsia" w:cstheme="minorEastAsia"/>
          <w:color w:val="auto"/>
          <w:sz w:val="21"/>
          <w:szCs w:val="21"/>
          <w:highlight w:val="none"/>
        </w:rPr>
        <w:t>联系电话：0903-</w:t>
      </w:r>
      <w:r>
        <w:rPr>
          <w:rFonts w:hint="eastAsia" w:asciiTheme="minorEastAsia" w:hAnsiTheme="minorEastAsia" w:eastAsiaTheme="minorEastAsia" w:cstheme="minorEastAsia"/>
          <w:color w:val="auto"/>
          <w:sz w:val="21"/>
          <w:szCs w:val="21"/>
          <w:highlight w:val="none"/>
          <w:lang w:val="en-US" w:eastAsia="zh-CN"/>
        </w:rPr>
        <w:t>6870055</w:t>
      </w:r>
      <w:r>
        <w:rPr>
          <w:rFonts w:hint="eastAsia" w:asciiTheme="minorEastAsia" w:hAnsiTheme="minorEastAsia" w:eastAsiaTheme="minorEastAsia" w:cstheme="minorEastAsia"/>
          <w:color w:val="auto"/>
          <w:sz w:val="21"/>
          <w:szCs w:val="21"/>
          <w:highlight w:val="none"/>
        </w:rPr>
        <w:t xml:space="preserve">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和田市屯垦西路138号龙煤大厦12楼12-10室</w:t>
      </w:r>
    </w:p>
    <w:p>
      <w:pPr>
        <w:keepNext w:val="0"/>
        <w:keepLines w:val="0"/>
        <w:pageBreakBefore w:val="0"/>
        <w:widowControl/>
        <w:numPr>
          <w:ilvl w:val="0"/>
          <w:numId w:val="4"/>
        </w:numPr>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采购人名称：</w:t>
      </w:r>
      <w:r>
        <w:rPr>
          <w:rFonts w:hint="eastAsia" w:asciiTheme="minorEastAsia" w:hAnsiTheme="minorEastAsia" w:eastAsiaTheme="minorEastAsia" w:cstheme="minorEastAsia"/>
          <w:color w:val="auto"/>
          <w:kern w:val="2"/>
          <w:sz w:val="21"/>
          <w:szCs w:val="21"/>
          <w:highlight w:val="none"/>
          <w:u w:val="none"/>
          <w:shd w:val="clear"/>
          <w:lang w:val="en-US" w:eastAsia="zh-CN" w:bidi="ar-SA"/>
        </w:rPr>
        <w:t>和田市住房和城乡建设局</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 xml:space="preserve">联系人： </w:t>
      </w:r>
      <w:r>
        <w:rPr>
          <w:rFonts w:hint="eastAsia" w:asciiTheme="minorEastAsia" w:hAnsiTheme="minorEastAsia" w:eastAsiaTheme="minorEastAsia" w:cstheme="minorEastAsia"/>
          <w:color w:val="auto"/>
          <w:sz w:val="21"/>
          <w:szCs w:val="21"/>
          <w:highlight w:val="none"/>
          <w:lang w:val="en-US" w:eastAsia="zh-CN"/>
        </w:rPr>
        <w:t>卢俊丽</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lang w:val="en-US" w:eastAsia="zh-CN"/>
        </w:rPr>
        <w:t>0903-2562371</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3、同级政府采购监督管理部门名称：</w:t>
      </w:r>
      <w:r>
        <w:rPr>
          <w:rFonts w:hint="eastAsia" w:asciiTheme="minorEastAsia" w:hAnsiTheme="minorEastAsia" w:eastAsiaTheme="minorEastAsia" w:cstheme="minorEastAsia"/>
          <w:color w:val="auto"/>
          <w:sz w:val="21"/>
          <w:szCs w:val="21"/>
          <w:highlight w:val="none"/>
          <w:lang w:val="en-US" w:eastAsia="zh-CN"/>
        </w:rPr>
        <w:t>和田市</w:t>
      </w:r>
      <w:r>
        <w:rPr>
          <w:rFonts w:hint="eastAsia" w:asciiTheme="minorEastAsia" w:hAnsiTheme="minorEastAsia" w:eastAsiaTheme="minorEastAsia" w:cstheme="minorEastAsia"/>
          <w:color w:val="auto"/>
          <w:sz w:val="21"/>
          <w:szCs w:val="21"/>
          <w:highlight w:val="none"/>
        </w:rPr>
        <w:t>政府采购办 </w:t>
      </w:r>
    </w:p>
    <w:p>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刘敏</w:t>
      </w:r>
      <w:r>
        <w:rPr>
          <w:rFonts w:hint="eastAsia" w:asciiTheme="minorEastAsia" w:hAnsiTheme="minorEastAsia" w:eastAsiaTheme="minorEastAsia" w:cstheme="minorEastAsia"/>
          <w:color w:val="auto"/>
          <w:sz w:val="21"/>
          <w:szCs w:val="21"/>
          <w:highlight w:val="none"/>
        </w:rPr>
        <w:t xml:space="preserve">                      监督投诉电话：0903-2516256 </w:t>
      </w:r>
    </w:p>
    <w:p>
      <w:pPr>
        <w:keepNext w:val="0"/>
        <w:keepLines w:val="0"/>
        <w:pageBreakBefore w:val="0"/>
        <w:widowControl/>
        <w:kinsoku/>
        <w:wordWrap/>
        <w:overflowPunct/>
        <w:topLinePunct w:val="0"/>
        <w:autoSpaceDE/>
        <w:autoSpaceDN/>
        <w:bidi w:val="0"/>
        <w:adjustRightInd/>
        <w:snapToGrid/>
        <w:spacing w:before="75" w:after="75" w:line="340" w:lineRule="exact"/>
        <w:ind w:left="1155" w:leftChars="300" w:hanging="525" w:hangingChars="250"/>
        <w:jc w:val="left"/>
        <w:textAlignment w:val="auto"/>
        <w:rPr>
          <w:rFonts w:hint="eastAsia" w:asciiTheme="minorEastAsia" w:hAnsiTheme="minorEastAsia" w:eastAsiaTheme="minorEastAsia" w:cstheme="minorEastAsia"/>
          <w:color w:val="auto"/>
          <w:kern w:val="2"/>
          <w:sz w:val="21"/>
          <w:szCs w:val="21"/>
          <w:highlight w:val="none"/>
          <w:u w:val="none"/>
          <w:shd w:val="clear"/>
          <w:lang w:val="en-US" w:eastAsia="zh-CN" w:bidi="ar-SA"/>
        </w:rPr>
      </w:pPr>
    </w:p>
    <w:p>
      <w:pPr>
        <w:keepNext w:val="0"/>
        <w:keepLines w:val="0"/>
        <w:pageBreakBefore w:val="0"/>
        <w:widowControl/>
        <w:kinsoku/>
        <w:wordWrap/>
        <w:overflowPunct/>
        <w:topLinePunct w:val="0"/>
        <w:autoSpaceDE/>
        <w:autoSpaceDN/>
        <w:bidi w:val="0"/>
        <w:adjustRightInd/>
        <w:snapToGrid/>
        <w:spacing w:before="75" w:after="75" w:line="340" w:lineRule="exact"/>
        <w:ind w:left="1155" w:leftChars="300" w:hanging="525" w:hangingChars="2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u w:val="none"/>
          <w:shd w:val="clear"/>
          <w:lang w:val="en-US" w:eastAsia="zh-CN" w:bidi="ar-SA"/>
        </w:rPr>
        <w:t>和田市住房和城乡建设局</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新疆天麒工程项目管理咨询有限责任公司     </w:t>
      </w:r>
      <w:r>
        <w:rPr>
          <w:rFonts w:hint="eastAsia" w:asciiTheme="minorEastAsia" w:hAnsiTheme="minorEastAsia" w:eastAsiaTheme="minorEastAsia" w:cstheme="minorEastAsia"/>
          <w:color w:val="auto"/>
          <w:sz w:val="21"/>
          <w:szCs w:val="21"/>
          <w:highlight w:val="none"/>
        </w:rPr>
        <w:t>20</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 xml:space="preserve">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20</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 xml:space="preserve">日 </w:t>
      </w:r>
    </w:p>
    <w:p>
      <w:pPr>
        <w:pStyle w:val="2"/>
        <w:rPr>
          <w:rFonts w:hint="eastAsia"/>
        </w:rPr>
      </w:pPr>
    </w:p>
    <w:p>
      <w:pPr>
        <w:widowControl/>
        <w:spacing w:line="320" w:lineRule="exact"/>
        <w:ind w:left="141" w:hanging="141"/>
        <w:jc w:val="center"/>
        <w:outlineLvl w:val="0"/>
        <w:rPr>
          <w:rFonts w:ascii="宋体" w:hAnsi="宋体"/>
          <w:b/>
          <w:sz w:val="28"/>
          <w:szCs w:val="28"/>
        </w:rPr>
      </w:pPr>
      <w:bookmarkStart w:id="12" w:name="_Toc7533"/>
      <w:r>
        <w:rPr>
          <w:rFonts w:hint="eastAsia" w:ascii="宋体" w:hAnsi="宋体"/>
          <w:b/>
          <w:sz w:val="28"/>
          <w:szCs w:val="28"/>
        </w:rPr>
        <w:t>第二章  投标人须知</w:t>
      </w:r>
      <w:bookmarkEnd w:id="12"/>
    </w:p>
    <w:p>
      <w:pPr>
        <w:widowControl/>
        <w:spacing w:line="320" w:lineRule="exact"/>
        <w:ind w:left="141" w:hanging="141"/>
        <w:rPr>
          <w:rFonts w:ascii="宋体" w:hAnsi="宋体"/>
          <w:b/>
          <w:sz w:val="28"/>
          <w:szCs w:val="28"/>
        </w:rPr>
      </w:pPr>
    </w:p>
    <w:p>
      <w:pPr>
        <w:widowControl/>
        <w:spacing w:line="320" w:lineRule="exact"/>
        <w:ind w:left="141" w:hanging="141"/>
        <w:jc w:val="center"/>
        <w:rPr>
          <w:rFonts w:ascii="宋体" w:hAnsi="宋体"/>
          <w:b/>
          <w:sz w:val="32"/>
          <w:szCs w:val="32"/>
        </w:rPr>
      </w:pPr>
      <w:r>
        <w:rPr>
          <w:rFonts w:hint="eastAsia" w:ascii="宋体" w:hAnsi="宋体"/>
          <w:b/>
          <w:sz w:val="32"/>
          <w:szCs w:val="32"/>
        </w:rPr>
        <w:t>投标人须知前附表</w:t>
      </w:r>
    </w:p>
    <w:p>
      <w:pPr>
        <w:widowControl/>
        <w:spacing w:line="320" w:lineRule="exact"/>
        <w:ind w:left="141" w:hanging="141"/>
        <w:jc w:val="center"/>
        <w:rPr>
          <w:rFonts w:ascii="宋体" w:hAnsi="宋体"/>
          <w:b/>
          <w:sz w:val="28"/>
          <w:szCs w:val="28"/>
        </w:rPr>
      </w:pPr>
    </w:p>
    <w:tbl>
      <w:tblPr>
        <w:tblStyle w:val="70"/>
        <w:tblW w:w="95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01"/>
        <w:gridCol w:w="2040"/>
        <w:gridCol w:w="68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tcBorders>
              <w:top w:val="single" w:color="auto" w:sz="12"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序号</w:t>
            </w:r>
          </w:p>
        </w:tc>
        <w:tc>
          <w:tcPr>
            <w:tcW w:w="2040" w:type="dxa"/>
            <w:tcBorders>
              <w:top w:val="single" w:color="auto" w:sz="12"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条款名称</w:t>
            </w:r>
          </w:p>
        </w:tc>
        <w:tc>
          <w:tcPr>
            <w:tcW w:w="6814" w:type="dxa"/>
            <w:tcBorders>
              <w:top w:val="single" w:color="auto" w:sz="12"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sz w:val="24"/>
              </w:rPr>
            </w:pPr>
            <w:r>
              <w:rPr>
                <w:rFonts w:hint="eastAsia" w:ascii="宋体" w:hAnsi="宋体" w:eastAsia="宋体" w:cs="Times New Roman"/>
                <w:b/>
                <w:sz w:val="24"/>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采购人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宋体" w:eastAsia="宋体" w:cs="Times New Roman"/>
                <w:sz w:val="24"/>
                <w:lang w:val="en-US" w:eastAsia="zh-CN"/>
              </w:rPr>
            </w:pPr>
            <w:r>
              <w:rPr>
                <w:rFonts w:hint="eastAsia" w:ascii="宋体" w:hAnsi="宋体" w:eastAsia="宋体" w:cs="宋体"/>
                <w:kern w:val="0"/>
                <w:sz w:val="24"/>
              </w:rPr>
              <w:t>名</w:t>
            </w:r>
            <w:r>
              <w:rPr>
                <w:rFonts w:ascii="宋体" w:hAnsi="宋体" w:eastAsia="宋体" w:cs="宋体"/>
                <w:kern w:val="0"/>
                <w:sz w:val="24"/>
              </w:rPr>
              <w:t xml:space="preserve">  </w:t>
            </w:r>
            <w:r>
              <w:rPr>
                <w:rFonts w:hint="eastAsia" w:ascii="宋体" w:hAnsi="宋体" w:eastAsia="宋体" w:cs="宋体"/>
                <w:kern w:val="0"/>
                <w:sz w:val="24"/>
              </w:rPr>
              <w:t>称：</w:t>
            </w:r>
            <w:r>
              <w:rPr>
                <w:rFonts w:hint="eastAsia" w:ascii="宋体" w:hAnsi="宋体" w:eastAsia="宋体" w:cs="Times New Roman"/>
                <w:sz w:val="24"/>
                <w:lang w:val="en-US" w:eastAsia="zh-CN"/>
              </w:rPr>
              <w:t>和田市住房和城乡建设局</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宋体" w:eastAsia="宋体" w:cs="Times New Roman"/>
                <w:sz w:val="24"/>
                <w:lang w:val="en-US" w:eastAsia="zh-CN"/>
              </w:rPr>
            </w:pPr>
            <w:r>
              <w:rPr>
                <w:rFonts w:hint="eastAsia" w:ascii="宋体" w:hAnsi="宋体" w:eastAsia="宋体" w:cs="Times New Roman"/>
                <w:sz w:val="24"/>
                <w:lang w:val="zh-CN"/>
              </w:rPr>
              <w:t xml:space="preserve">联系人: </w:t>
            </w:r>
            <w:r>
              <w:rPr>
                <w:rFonts w:hint="eastAsia" w:ascii="宋体" w:hAnsi="宋体" w:eastAsia="宋体" w:cs="Times New Roman"/>
                <w:sz w:val="24"/>
                <w:lang w:val="en-US" w:eastAsia="zh-CN"/>
              </w:rPr>
              <w:t>卢俊丽</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rPr>
            </w:pPr>
            <w:r>
              <w:rPr>
                <w:rFonts w:hint="eastAsia" w:ascii="宋体" w:hAnsi="宋体" w:eastAsia="宋体" w:cs="Times New Roman"/>
                <w:sz w:val="24"/>
                <w:lang w:val="zh-CN"/>
              </w:rPr>
              <w:t xml:space="preserve">电  话： </w:t>
            </w:r>
            <w:r>
              <w:rPr>
                <w:rFonts w:hint="eastAsia" w:ascii="宋体" w:hAnsi="宋体" w:eastAsia="宋体" w:cs="Times New Roman"/>
                <w:sz w:val="24"/>
                <w:lang w:val="en-US" w:eastAsia="zh-CN"/>
              </w:rPr>
              <w:t>0903-2562371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75"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代理机构</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宋体" w:eastAsia="宋体" w:cs="Times New Roman"/>
                <w:sz w:val="24"/>
                <w:lang w:eastAsia="zh-CN"/>
              </w:rPr>
            </w:pPr>
            <w:r>
              <w:rPr>
                <w:rFonts w:hint="eastAsia" w:ascii="宋体" w:hAnsi="宋体" w:eastAsia="宋体" w:cs="Times New Roman"/>
                <w:sz w:val="24"/>
              </w:rPr>
              <w:t>名</w:t>
            </w:r>
            <w:r>
              <w:rPr>
                <w:rFonts w:ascii="宋体" w:hAnsi="宋体" w:eastAsia="宋体" w:cs="Times New Roman"/>
                <w:sz w:val="24"/>
              </w:rPr>
              <w:t xml:space="preserve">  </w:t>
            </w:r>
            <w:r>
              <w:rPr>
                <w:rFonts w:hint="eastAsia" w:ascii="宋体" w:hAnsi="宋体" w:eastAsia="宋体" w:cs="Times New Roman"/>
                <w:sz w:val="24"/>
              </w:rPr>
              <w:t xml:space="preserve">称： </w:t>
            </w:r>
            <w:r>
              <w:rPr>
                <w:rFonts w:hint="eastAsia" w:ascii="宋体" w:hAnsi="宋体" w:eastAsia="宋体" w:cs="Times New Roman"/>
                <w:sz w:val="24"/>
                <w:lang w:val="en-US" w:eastAsia="zh-CN"/>
              </w:rPr>
              <w:t>新疆天麒工程项目管理咨询有限责任公司</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ascii="宋体" w:hAnsi="Times New Roman" w:eastAsia="宋体" w:cs="Times New Roman"/>
                <w:sz w:val="24"/>
              </w:rPr>
            </w:pPr>
            <w:r>
              <w:rPr>
                <w:rFonts w:hint="eastAsia" w:ascii="宋体" w:hAnsi="宋体" w:eastAsia="宋体" w:cs="Times New Roman"/>
                <w:sz w:val="24"/>
              </w:rPr>
              <w:t>地</w:t>
            </w:r>
            <w:r>
              <w:rPr>
                <w:rFonts w:ascii="宋体" w:hAnsi="宋体" w:eastAsia="宋体" w:cs="Times New Roman"/>
                <w:sz w:val="24"/>
              </w:rPr>
              <w:t xml:space="preserve">  </w:t>
            </w:r>
            <w:r>
              <w:rPr>
                <w:rFonts w:hint="eastAsia" w:ascii="宋体" w:hAnsi="宋体" w:eastAsia="宋体" w:cs="Times New Roman"/>
                <w:sz w:val="24"/>
              </w:rPr>
              <w:t>址：</w:t>
            </w:r>
            <w:r>
              <w:rPr>
                <w:rFonts w:hint="eastAsia" w:ascii="宋体" w:hAnsi="宋体" w:eastAsia="宋体" w:cs="Times New Roman"/>
                <w:sz w:val="24"/>
                <w:lang w:val="en-US" w:eastAsia="zh-CN"/>
              </w:rPr>
              <w:t>和田市屯垦西路138号龙煤大厦12楼12-10室</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eastAsia="zh-CN"/>
              </w:rPr>
            </w:pPr>
            <w:r>
              <w:rPr>
                <w:rFonts w:hint="eastAsia" w:ascii="宋体" w:hAnsi="宋体" w:eastAsia="宋体" w:cs="Times New Roman"/>
                <w:sz w:val="24"/>
              </w:rPr>
              <w:t>联系人：</w:t>
            </w:r>
            <w:r>
              <w:rPr>
                <w:rFonts w:hint="eastAsia" w:ascii="宋体" w:hAnsi="宋体" w:cs="Times New Roman"/>
                <w:sz w:val="24"/>
                <w:lang w:val="en-US" w:eastAsia="zh-CN"/>
              </w:rPr>
              <w:t>翟彦飞</w:t>
            </w:r>
          </w:p>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default" w:ascii="宋体" w:hAnsi="Times New Roman" w:eastAsia="宋体" w:cs="Times New Roman"/>
                <w:sz w:val="24"/>
                <w:lang w:val="en-US" w:eastAsia="zh-CN"/>
              </w:rPr>
            </w:pPr>
            <w:r>
              <w:rPr>
                <w:rFonts w:hint="eastAsia" w:ascii="宋体" w:hAnsi="宋体" w:eastAsia="宋体" w:cs="Times New Roman"/>
                <w:sz w:val="24"/>
              </w:rPr>
              <w:t>电</w:t>
            </w:r>
            <w:r>
              <w:rPr>
                <w:rFonts w:ascii="宋体" w:hAnsi="宋体" w:eastAsia="宋体" w:cs="Times New Roman"/>
                <w:sz w:val="24"/>
              </w:rPr>
              <w:t xml:space="preserve">  </w:t>
            </w:r>
            <w:r>
              <w:rPr>
                <w:rFonts w:hint="eastAsia" w:ascii="宋体" w:hAnsi="宋体" w:eastAsia="宋体" w:cs="Times New Roman"/>
                <w:sz w:val="24"/>
              </w:rPr>
              <w:t>话：0903-</w:t>
            </w:r>
            <w:r>
              <w:rPr>
                <w:rFonts w:hint="eastAsia" w:ascii="宋体" w:hAnsi="宋体" w:eastAsia="宋体" w:cs="Times New Roman"/>
                <w:sz w:val="24"/>
                <w:lang w:val="en-US" w:eastAsia="zh-CN"/>
              </w:rPr>
              <w:t>2562371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6"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ascii="宋体" w:hAnsi="宋体" w:eastAsia="宋体" w:cs="Times New Roman"/>
                <w:sz w:val="24"/>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采购项目名称</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eastAsia="zh-CN"/>
              </w:rPr>
            </w:pPr>
            <w:r>
              <w:rPr>
                <w:rFonts w:hint="eastAsia" w:ascii="宋体" w:hAnsi="宋体" w:eastAsia="宋体" w:cs="Times New Roman"/>
                <w:sz w:val="24"/>
                <w:lang w:val="en-US" w:eastAsia="zh-CN"/>
              </w:rPr>
              <w:t>和田市农村房屋安全性鉴定工作采购项目</w:t>
            </w:r>
            <w:r>
              <w:rPr>
                <w:rFonts w:hint="eastAsia" w:ascii="宋体" w:hAnsi="宋体" w:eastAsia="宋体" w:cs="Times New Roman"/>
                <w:sz w:val="24"/>
                <w:lang w:eastAsia="zh-CN"/>
              </w:rPr>
              <w:t>（包</w:t>
            </w:r>
            <w:r>
              <w:rPr>
                <w:rFonts w:hint="eastAsia" w:ascii="宋体" w:hAnsi="宋体" w:eastAsia="宋体" w:cs="Times New Roman"/>
                <w:sz w:val="24"/>
                <w:lang w:val="en-US" w:eastAsia="zh-CN"/>
              </w:rPr>
              <w:t>一</w:t>
            </w:r>
            <w:r>
              <w:rPr>
                <w:rFonts w:hint="eastAsia" w:ascii="宋体" w:hAnsi="宋体" w:eastAsia="宋体" w:cs="Times New Roman"/>
                <w:sz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sz w:val="24"/>
              </w:rPr>
            </w:pPr>
            <w:r>
              <w:rPr>
                <w:rFonts w:hint="eastAsia" w:ascii="宋体" w:hAnsi="宋体" w:eastAsia="宋体" w:cs="Times New Roman"/>
                <w:sz w:val="24"/>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sz w:val="24"/>
              </w:rPr>
            </w:pPr>
            <w:r>
              <w:rPr>
                <w:rFonts w:hint="eastAsia" w:ascii="宋体" w:hAnsi="宋体" w:eastAsia="宋体" w:cs="Times New Roman"/>
                <w:sz w:val="24"/>
              </w:rPr>
              <w:t>采购内容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eastAsia="zh-CN"/>
              </w:rPr>
            </w:pPr>
            <w:r>
              <w:rPr>
                <w:rFonts w:hint="eastAsia" w:ascii="宋体" w:hAnsi="宋体" w:eastAsia="宋体" w:cs="Times New Roman"/>
                <w:sz w:val="24"/>
                <w:lang w:val="en-US" w:eastAsia="zh-CN"/>
              </w:rPr>
              <w:t>采购范围：房屋结构安全隐患排查、检测等，主要对房屋结构安全状况进行鉴别、评定，为房屋安全鉴定和管理提供技术支撑。为采购人提供科学、可靠、有效的检测数据和检测报告。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sz w:val="24"/>
              </w:rPr>
            </w:pPr>
            <w:r>
              <w:rPr>
                <w:rFonts w:hint="eastAsia" w:ascii="宋体" w:hAnsi="宋体" w:eastAsia="宋体" w:cs="Times New Roman"/>
                <w:sz w:val="24"/>
              </w:rPr>
              <w:t>资金来源</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宋体" w:hAnsi="宋体" w:eastAsia="宋体" w:cs="Times New Roman"/>
                <w:color w:val="auto"/>
                <w:sz w:val="24"/>
                <w:lang w:val="en-US" w:eastAsia="zh-CN"/>
              </w:rPr>
            </w:pPr>
            <w:r>
              <w:rPr>
                <w:rFonts w:hint="eastAsia" w:ascii="宋体" w:hAnsi="宋体" w:cs="Times New Roman"/>
                <w:color w:val="auto"/>
                <w:sz w:val="24"/>
                <w:lang w:val="en-US" w:eastAsia="zh-CN"/>
              </w:rPr>
              <w:t>地方自筹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6</w:t>
            </w:r>
          </w:p>
        </w:tc>
        <w:tc>
          <w:tcPr>
            <w:tcW w:w="2040" w:type="dxa"/>
            <w:tcBorders>
              <w:right w:val="single" w:color="auto" w:sz="4" w:space="0"/>
            </w:tcBorders>
            <w:vAlign w:val="center"/>
          </w:tcPr>
          <w:p>
            <w:pPr>
              <w:keepNext w:val="0"/>
              <w:keepLines w:val="0"/>
              <w:pageBreakBefore w:val="0"/>
              <w:tabs>
                <w:tab w:val="left" w:pos="900"/>
              </w:tabs>
              <w:kinsoku/>
              <w:wordWrap/>
              <w:overflowPunct/>
              <w:topLinePunct w:val="0"/>
              <w:autoSpaceDE/>
              <w:autoSpaceDN/>
              <w:bidi w:val="0"/>
              <w:adjustRightInd/>
              <w:snapToGrid/>
              <w:spacing w:beforeLines="10" w:afterLines="10"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宋体"/>
                <w:kern w:val="0"/>
                <w:sz w:val="24"/>
              </w:rPr>
              <w:t>采购概算价</w:t>
            </w:r>
          </w:p>
        </w:tc>
        <w:tc>
          <w:tcPr>
            <w:tcW w:w="6814" w:type="dxa"/>
            <w:tcBorders>
              <w:left w:val="single" w:color="auto" w:sz="4" w:space="0"/>
            </w:tcBorders>
            <w:vAlign w:val="center"/>
          </w:tcPr>
          <w:p>
            <w:pPr>
              <w:keepNext w:val="0"/>
              <w:keepLines w:val="0"/>
              <w:pageBreakBefore w:val="0"/>
              <w:tabs>
                <w:tab w:val="left" w:pos="900"/>
              </w:tabs>
              <w:kinsoku/>
              <w:wordWrap/>
              <w:overflowPunct/>
              <w:topLinePunct w:val="0"/>
              <w:autoSpaceDE/>
              <w:autoSpaceDN/>
              <w:bidi w:val="0"/>
              <w:adjustRightInd/>
              <w:snapToGrid/>
              <w:spacing w:beforeLines="10" w:afterLines="10" w:line="300" w:lineRule="exact"/>
              <w:ind w:left="0" w:right="0" w:firstLine="0" w:firstLineChars="0"/>
              <w:jc w:val="both"/>
              <w:textAlignment w:val="auto"/>
              <w:rPr>
                <w:rFonts w:hint="eastAsia" w:ascii="宋体" w:hAnsi="Times New Roman" w:eastAsia="宋体" w:cs="宋体"/>
                <w:color w:val="auto"/>
                <w:kern w:val="0"/>
                <w:sz w:val="24"/>
                <w:highlight w:val="none"/>
                <w:lang w:eastAsia="zh-CN"/>
              </w:rPr>
            </w:pPr>
            <w:r>
              <w:rPr>
                <w:rFonts w:hint="eastAsia" w:ascii="宋体" w:hAnsi="Times New Roman" w:eastAsia="宋体" w:cs="宋体"/>
                <w:color w:val="auto"/>
                <w:kern w:val="0"/>
                <w:sz w:val="24"/>
                <w:highlight w:val="none"/>
                <w:lang w:val="en-US" w:eastAsia="zh-CN"/>
              </w:rPr>
              <w:t>2633926.60</w:t>
            </w:r>
            <w:r>
              <w:rPr>
                <w:rFonts w:hint="eastAsia" w:ascii="宋体" w:hAnsi="Times New Roman" w:eastAsia="宋体" w:cs="宋体"/>
                <w:color w:val="auto"/>
                <w:kern w:val="0"/>
                <w:sz w:val="24"/>
                <w:highlight w:val="none"/>
              </w:rPr>
              <w:t>元</w:t>
            </w:r>
            <w:r>
              <w:rPr>
                <w:rFonts w:hint="eastAsia" w:ascii="宋体" w:hAnsi="Times New Roman" w:eastAsia="宋体" w:cs="宋体"/>
                <w:color w:val="auto"/>
                <w:kern w:val="0"/>
                <w:sz w:val="24"/>
                <w:highlight w:val="none"/>
                <w:lang w:eastAsia="zh-CN"/>
              </w:rPr>
              <w:t>，</w:t>
            </w:r>
            <w:r>
              <w:rPr>
                <w:rFonts w:hint="eastAsia" w:ascii="宋体" w:hAnsi="Times New Roman" w:eastAsia="宋体" w:cs="宋体"/>
                <w:b/>
                <w:bCs/>
                <w:color w:val="auto"/>
                <w:kern w:val="0"/>
                <w:sz w:val="24"/>
                <w:highlight w:val="none"/>
              </w:rPr>
              <w:t>投标报价高于预算限价按废标处理，敬请投标人注意</w:t>
            </w:r>
            <w:r>
              <w:rPr>
                <w:rFonts w:hint="eastAsia" w:ascii="宋体" w:cs="宋体"/>
                <w:b/>
                <w:bCs/>
                <w:color w:val="auto"/>
                <w:kern w:val="0"/>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7</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u w:val="single"/>
              </w:rPr>
            </w:pPr>
            <w:r>
              <w:rPr>
                <w:rFonts w:hint="eastAsia" w:ascii="宋体" w:hAnsi="宋体" w:eastAsia="宋体" w:cs="宋体"/>
                <w:kern w:val="0"/>
                <w:sz w:val="24"/>
              </w:rPr>
              <w:t>采购方式</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u w:val="single"/>
              </w:rPr>
            </w:pPr>
            <w:r>
              <w:rPr>
                <w:rFonts w:hint="eastAsia" w:ascii="宋体" w:hAnsi="宋体" w:eastAsia="宋体" w:cs="Times New Roman"/>
                <w:sz w:val="24"/>
              </w:rPr>
              <w:t>公开招标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Times New Roman" w:eastAsia="宋体" w:cs="Times New Roman"/>
                <w:sz w:val="24"/>
              </w:rPr>
              <w:t>8</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rPr>
            </w:pPr>
            <w:r>
              <w:rPr>
                <w:rFonts w:hint="eastAsia" w:ascii="宋体" w:hAnsi="宋体" w:eastAsia="宋体" w:cs="Times New Roman"/>
                <w:sz w:val="24"/>
              </w:rPr>
              <w:t>评标方法</w:t>
            </w:r>
          </w:p>
        </w:tc>
        <w:tc>
          <w:tcPr>
            <w:tcW w:w="6814"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75" w:after="75" w:line="300" w:lineRule="exact"/>
              <w:ind w:left="0" w:right="0" w:firstLine="0" w:firstLineChars="0"/>
              <w:jc w:val="left"/>
              <w:textAlignment w:val="auto"/>
              <w:rPr>
                <w:rFonts w:hint="default" w:ascii="宋体" w:hAnsi="Times New Roman" w:eastAsia="宋体" w:cs="Times New Roman"/>
                <w:sz w:val="24"/>
                <w:lang w:val="en-US" w:eastAsia="zh-CN"/>
              </w:rPr>
            </w:pPr>
            <w:r>
              <w:rPr>
                <w:rFonts w:hint="eastAsia" w:ascii="宋体" w:hAnsi="Times New Roman" w:eastAsia="宋体" w:cs="Times New Roman"/>
                <w:sz w:val="24"/>
                <w:lang w:val="en-US" w:eastAsia="zh-CN"/>
              </w:rPr>
              <w:t>综合评估法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lang w:val="en-US" w:eastAsia="zh-CN"/>
              </w:rPr>
            </w:pPr>
            <w:r>
              <w:rPr>
                <w:rFonts w:hint="eastAsia" w:ascii="宋体" w:cs="Times New Roman"/>
                <w:sz w:val="24"/>
                <w:lang w:val="en-US" w:eastAsia="zh-CN"/>
              </w:rPr>
              <w:t>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sz w:val="24"/>
              </w:rPr>
            </w:pPr>
            <w:r>
              <w:rPr>
                <w:rFonts w:hint="eastAsia" w:asciiTheme="minorEastAsia" w:hAnsiTheme="minorEastAsia" w:eastAsiaTheme="minorEastAsia" w:cstheme="minorEastAsia"/>
                <w:color w:val="auto"/>
                <w:sz w:val="24"/>
                <w:szCs w:val="24"/>
                <w:highlight w:val="none"/>
              </w:rPr>
              <w:t>资格要求</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投标供应商资格要求:</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1、供应商必须符合《中华人民共和国政府采购法》第二十二条规定：具有独立法人资格，有独立承担民事行为责任的能力；能承担本项目全部服务的投标人；</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2、投标人需具备有效的营业执照、税务登记证、组织机构代码证（或三证合一营业执照），法人委托人须携带法人代表授权书原件及委托人身份证原件(授权书需附法人身份证及委托人身份证复印件)；被授权委托人在本单位缴纳的近六个月内社保缴纳证明（社保缴费凭证原件和个人明细表）；</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3、建设工程质量检测机构资质证书（须包含主体结构工程检测等专项检测）原件；</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4、具有良好的商业信誉和健全的财务会计制度（提供2019年度财务审计报告）；</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5、凡拟参加本次招标项目的投标人，如在“信用中国”网站(WWW.creditchina.gov.cn)、中国政府釆购网(www.ccgp.gov.cn)、国家企业信用信息公示系统(http://www.gsxt.gov.cn)、中国裁判文书网（http://wenshu.court.gov.cn/）被列入失信被执行人、重大税收违法案件当事人名单、政府采购严重违法失信行为记录名单的(尚在处罚期内的)、经营异常名录的，将拒绝其参与本次政府釆购活动；</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left"/>
              <w:textAlignment w:val="auto"/>
              <w:rPr>
                <w:rFonts w:hint="eastAsia" w:ascii="宋体" w:hAnsi="Times New Roman"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sz w:val="24"/>
                <w:highlight w:val="none"/>
                <w:lang w:val="en-US" w:eastAsia="zh-CN"/>
              </w:rPr>
            </w:pPr>
            <w:r>
              <w:rPr>
                <w:rFonts w:hint="eastAsia" w:ascii="宋体" w:cs="Times New Roman"/>
                <w:sz w:val="24"/>
                <w:highlight w:val="none"/>
                <w:lang w:val="en-US" w:eastAsia="zh-CN"/>
              </w:rPr>
              <w:t>10</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b/>
                <w:bCs/>
                <w:sz w:val="24"/>
                <w:highlight w:val="none"/>
              </w:rPr>
            </w:pPr>
            <w:r>
              <w:rPr>
                <w:rFonts w:hint="eastAsia" w:ascii="宋体" w:hAnsi="宋体"/>
                <w:b/>
                <w:bCs/>
                <w:sz w:val="24"/>
                <w:highlight w:val="none"/>
              </w:rPr>
              <w:t>服务期</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Times New Roman" w:hAnsi="Times New Roman" w:eastAsia="宋体" w:cs="Times New Roman"/>
                <w:b/>
                <w:bCs/>
                <w:highlight w:val="none"/>
                <w:lang w:val="en-US"/>
              </w:rPr>
            </w:pPr>
            <w:r>
              <w:rPr>
                <w:rFonts w:hint="eastAsia" w:ascii="Times New Roman" w:hAnsi="Times New Roman" w:eastAsia="宋体" w:cs="Times New Roman"/>
                <w:b/>
                <w:bCs/>
                <w:highlight w:val="none"/>
                <w:lang w:val="en-US" w:eastAsia="zh-CN"/>
              </w:rPr>
              <w:t>2020年6月10日前</w:t>
            </w:r>
            <w:r>
              <w:rPr>
                <w:rFonts w:hint="eastAsia" w:cs="Times New Roman"/>
                <w:b/>
                <w:bCs/>
                <w:highlight w:val="none"/>
                <w:lang w:val="en-US" w:eastAsia="zh-CN"/>
              </w:rPr>
              <w:t>完成所有鉴定工作。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hint="eastAsia" w:ascii="宋体" w:hAnsi="Times New Roman" w:eastAsia="宋体" w:cs="Times New Roman"/>
                <w:sz w:val="24"/>
                <w:highlight w:val="none"/>
              </w:rPr>
              <w:t>1</w:t>
            </w:r>
            <w:r>
              <w:rPr>
                <w:rFonts w:hint="eastAsia" w:ascii="宋体" w:cs="Times New Roman"/>
                <w:sz w:val="24"/>
                <w:highlight w:val="none"/>
                <w:lang w:val="en-US" w:eastAsia="zh-CN"/>
              </w:rPr>
              <w:t>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质量要求</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达到国家及行业部门规范标准。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5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hint="eastAsia" w:ascii="宋体" w:hAnsi="Times New Roman" w:eastAsia="宋体" w:cs="Times New Roman"/>
                <w:sz w:val="24"/>
                <w:highlight w:val="none"/>
              </w:rPr>
              <w:t>1</w:t>
            </w:r>
            <w:r>
              <w:rPr>
                <w:rFonts w:hint="eastAsia" w:ascii="宋体" w:cs="Times New Roman"/>
                <w:sz w:val="24"/>
                <w:highlight w:val="none"/>
                <w:lang w:val="en-US" w:eastAsia="zh-CN"/>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联合体投标</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1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ascii="宋体" w:hAnsi="宋体" w:eastAsia="宋体" w:cs="Times New Roman"/>
                <w:sz w:val="24"/>
                <w:highlight w:val="none"/>
              </w:rPr>
              <w:t>1</w:t>
            </w:r>
            <w:r>
              <w:rPr>
                <w:rFonts w:hint="eastAsia" w:ascii="宋体" w:hAnsi="宋体" w:cs="Times New Roman"/>
                <w:sz w:val="24"/>
                <w:highlight w:val="none"/>
                <w:lang w:val="en-US" w:eastAsia="zh-CN"/>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考察现场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Times New Roman" w:eastAsia="宋体" w:cs="Times New Roman"/>
                <w:sz w:val="24"/>
                <w:highlight w:val="none"/>
              </w:rPr>
              <w:t>不组织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sz w:val="24"/>
                <w:highlight w:val="none"/>
                <w:lang w:eastAsia="zh-CN"/>
              </w:rPr>
            </w:pPr>
            <w:r>
              <w:rPr>
                <w:rFonts w:ascii="宋体" w:hAnsi="宋体" w:eastAsia="宋体" w:cs="Times New Roman"/>
                <w:sz w:val="24"/>
                <w:highlight w:val="none"/>
              </w:rPr>
              <w:t>1</w:t>
            </w:r>
            <w:r>
              <w:rPr>
                <w:rFonts w:hint="eastAsia" w:ascii="宋体" w:hAnsi="宋体" w:cs="Times New Roman"/>
                <w:sz w:val="24"/>
                <w:highlight w:val="none"/>
                <w:lang w:val="en-US" w:eastAsia="zh-CN"/>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sz w:val="24"/>
                <w:highlight w:val="none"/>
              </w:rPr>
            </w:pPr>
            <w:r>
              <w:rPr>
                <w:rFonts w:hint="eastAsia" w:ascii="宋体" w:hAnsi="宋体" w:eastAsia="宋体" w:cs="Times New Roman"/>
                <w:sz w:val="24"/>
                <w:highlight w:val="none"/>
              </w:rPr>
              <w:t>投标人对招标文件提出质疑的时间</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sz w:val="24"/>
                <w:highlight w:val="none"/>
              </w:rPr>
            </w:pPr>
            <w:r>
              <w:rPr>
                <w:rFonts w:hint="eastAsia" w:ascii="宋体" w:hAnsi="宋体" w:eastAsia="宋体" w:cs="Times New Roman"/>
                <w:sz w:val="24"/>
                <w:highlight w:val="none"/>
              </w:rPr>
              <w:t>自招标文件发售时间起的10日内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6"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构成招标文件的其他文件</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招标文件的澄清、修改书及有关补充通知为招标文件的有效组成部分</w:t>
            </w:r>
            <w:r>
              <w:rPr>
                <w:rFonts w:hint="eastAsia" w:ascii="宋体" w:hAnsi="宋体" w:eastAsia="宋体" w:cs="Times New Roman"/>
                <w:color w:val="auto"/>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6</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投标截止时间</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20</w:t>
            </w:r>
            <w:r>
              <w:rPr>
                <w:rFonts w:hint="eastAsia" w:ascii="宋体" w:hAnsi="宋体" w:eastAsia="宋体" w:cs="Times New Roman"/>
                <w:color w:val="auto"/>
                <w:sz w:val="24"/>
                <w:highlight w:val="none"/>
                <w:lang w:val="en-US" w:eastAsia="zh-CN"/>
              </w:rPr>
              <w:t>20年</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lang w:val="en-US" w:eastAsia="zh-CN"/>
              </w:rPr>
              <w:t>月</w:t>
            </w:r>
            <w:r>
              <w:rPr>
                <w:rFonts w:hint="eastAsia" w:ascii="宋体" w:hAnsi="宋体" w:cs="Times New Roman"/>
                <w:color w:val="auto"/>
                <w:sz w:val="24"/>
                <w:highlight w:val="none"/>
                <w:lang w:val="en-US" w:eastAsia="zh-CN"/>
              </w:rPr>
              <w:t>03</w:t>
            </w:r>
            <w:r>
              <w:rPr>
                <w:rFonts w:hint="eastAsia" w:ascii="宋体" w:hAnsi="宋体" w:eastAsia="宋体" w:cs="Times New Roman"/>
                <w:color w:val="auto"/>
                <w:sz w:val="24"/>
                <w:highlight w:val="none"/>
                <w:lang w:val="en-US" w:eastAsia="zh-CN"/>
              </w:rPr>
              <w:t>日</w:t>
            </w:r>
            <w:r>
              <w:rPr>
                <w:rFonts w:hint="eastAsia" w:ascii="宋体" w:hAnsi="宋体" w:eastAsia="宋体" w:cs="Times New Roman"/>
                <w:color w:val="auto"/>
                <w:sz w:val="24"/>
                <w:highlight w:val="none"/>
              </w:rPr>
              <w:t>1</w:t>
            </w:r>
            <w:r>
              <w:rPr>
                <w:rFonts w:hint="eastAsia" w:ascii="宋体" w:hAnsi="宋体" w:eastAsia="宋体" w:cs="Times New Roman"/>
                <w:color w:val="auto"/>
                <w:sz w:val="24"/>
                <w:highlight w:val="none"/>
                <w:lang w:val="en-US" w:eastAsia="zh-CN"/>
              </w:rPr>
              <w:t>0</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0:00（北京时间）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5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7</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w:t>
            </w:r>
            <w:r>
              <w:rPr>
                <w:rFonts w:hint="eastAsia" w:ascii="宋体" w:hAnsi="Times New Roman" w:eastAsia="宋体" w:cs="Times New Roman"/>
                <w:bCs/>
                <w:color w:val="auto"/>
                <w:sz w:val="24"/>
                <w:highlight w:val="none"/>
              </w:rPr>
              <w:t>有效期</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cs="Times New Roman"/>
                <w:color w:val="auto"/>
                <w:sz w:val="24"/>
                <w:highlight w:val="none"/>
                <w:lang w:val="en-US" w:eastAsia="zh-CN"/>
              </w:rPr>
              <w:t>60</w:t>
            </w:r>
            <w:r>
              <w:rPr>
                <w:rFonts w:hint="eastAsia" w:ascii="宋体" w:hAnsi="宋体" w:eastAsia="宋体" w:cs="Times New Roman"/>
                <w:color w:val="auto"/>
                <w:sz w:val="24"/>
                <w:highlight w:val="none"/>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9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8</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color w:val="auto"/>
                <w:sz w:val="24"/>
                <w:highlight w:val="none"/>
                <w:lang w:val="en-US" w:eastAsia="zh-CN"/>
              </w:rPr>
            </w:pPr>
            <w:r>
              <w:rPr>
                <w:rFonts w:hint="eastAsia" w:ascii="宋体" w:cs="Times New Roman"/>
                <w:color w:val="auto"/>
                <w:sz w:val="24"/>
                <w:highlight w:val="none"/>
                <w:lang w:val="en-US" w:eastAsia="zh-CN"/>
              </w:rPr>
              <w:t>投标保证金</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eastAsia="zh-CN"/>
              </w:rPr>
            </w:pPr>
            <w:r>
              <w:rPr>
                <w:rFonts w:hint="eastAsia" w:ascii="宋体" w:hAnsi="Times New Roman" w:eastAsia="宋体" w:cs="Times New Roman"/>
                <w:bCs/>
                <w:color w:val="auto"/>
                <w:sz w:val="24"/>
                <w:highlight w:val="none"/>
              </w:rPr>
              <w:t>投标保证金的形式：转账、</w:t>
            </w:r>
            <w:r>
              <w:rPr>
                <w:rFonts w:hint="eastAsia" w:ascii="宋体" w:cs="Times New Roman"/>
                <w:bCs/>
                <w:color w:val="auto"/>
                <w:sz w:val="24"/>
                <w:highlight w:val="none"/>
                <w:lang w:val="en-US" w:eastAsia="zh-CN"/>
              </w:rPr>
              <w:t>电汇</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default"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rPr>
              <w:t>投标保证金的金额：</w:t>
            </w:r>
            <w:r>
              <w:rPr>
                <w:rFonts w:hint="eastAsia" w:ascii="宋体" w:cs="Times New Roman"/>
                <w:bCs/>
                <w:color w:val="auto"/>
                <w:sz w:val="24"/>
                <w:highlight w:val="none"/>
                <w:lang w:val="en-US" w:eastAsia="zh-CN"/>
              </w:rPr>
              <w:t>52000.00元   大写：伍万贰仟元整</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rPr>
            </w:pPr>
            <w:r>
              <w:rPr>
                <w:rFonts w:hint="eastAsia" w:ascii="宋体" w:hAnsi="Times New Roman" w:eastAsia="宋体" w:cs="Times New Roman"/>
                <w:bCs/>
                <w:color w:val="auto"/>
                <w:sz w:val="24"/>
                <w:highlight w:val="none"/>
              </w:rPr>
              <w:t>投标保证金缴纳账户：</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 xml:space="preserve">开户银行：中国银行新疆和田乌鲁木齐北路支行 </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户名：和田市人民政府采购中心</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Times New Roman" w:eastAsia="宋体" w:cs="Times New Roman"/>
                <w:bCs/>
                <w:color w:val="auto"/>
                <w:sz w:val="24"/>
                <w:highlight w:val="none"/>
                <w:lang w:val="en-US" w:eastAsia="zh-CN"/>
              </w:rPr>
            </w:pPr>
            <w:r>
              <w:rPr>
                <w:rFonts w:hint="eastAsia" w:ascii="宋体" w:hAnsi="Times New Roman" w:eastAsia="宋体" w:cs="Times New Roman"/>
                <w:bCs/>
                <w:color w:val="auto"/>
                <w:sz w:val="24"/>
                <w:highlight w:val="none"/>
                <w:lang w:val="en-US" w:eastAsia="zh-CN"/>
              </w:rPr>
              <w:t xml:space="preserve">银行账号：107031722125 </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lang w:val="en-US" w:eastAsia="zh-CN"/>
              </w:rPr>
              <w:t>注：必须采用银行转账或电汇的方式，由报名单位基本账户</w:t>
            </w:r>
            <w:r>
              <w:rPr>
                <w:rFonts w:hint="eastAsia" w:ascii="宋体" w:cs="Times New Roman"/>
                <w:b/>
                <w:color w:val="auto"/>
                <w:sz w:val="24"/>
                <w:highlight w:val="none"/>
                <w:lang w:val="en-US" w:eastAsia="zh-CN"/>
              </w:rPr>
              <w:t>于2020年6月02日19：30（北京时间）前</w:t>
            </w:r>
            <w:r>
              <w:rPr>
                <w:rFonts w:hint="eastAsia" w:ascii="宋体" w:hAnsi="Times New Roman" w:eastAsia="宋体" w:cs="Times New Roman"/>
                <w:b/>
                <w:color w:val="auto"/>
                <w:sz w:val="24"/>
                <w:highlight w:val="none"/>
                <w:lang w:val="en-US" w:eastAsia="zh-CN"/>
              </w:rPr>
              <w:t>汇至和田市人民政府采购中心专用账户，不得以现金和其他形式缴纳，不得以分公司、办事处或其他机构的名义缴纳，报名单位在缴纳保证金时，需在进账凭证上明确资金用途、项目名称 ，以便查对核实。投标保证金缴纳截止时间为递交投标文件截止时间，无须到和田市公共资源交易中心换取收据。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3"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Times New Roman" w:eastAsia="宋体" w:cs="Times New Roman"/>
                <w:color w:val="auto"/>
                <w:sz w:val="24"/>
                <w:highlight w:val="none"/>
                <w:lang w:eastAsia="zh-CN"/>
              </w:rPr>
            </w:pPr>
            <w:r>
              <w:rPr>
                <w:rFonts w:ascii="宋体" w:hAnsi="宋体" w:eastAsia="宋体" w:cs="Times New Roman"/>
                <w:color w:val="auto"/>
                <w:sz w:val="24"/>
                <w:highlight w:val="none"/>
              </w:rPr>
              <w:t>1</w:t>
            </w:r>
            <w:r>
              <w:rPr>
                <w:rFonts w:hint="eastAsia" w:ascii="宋体" w:hAnsi="宋体" w:cs="Times New Roman"/>
                <w:color w:val="auto"/>
                <w:sz w:val="24"/>
                <w:highlight w:val="none"/>
                <w:lang w:val="en-US" w:eastAsia="zh-CN"/>
              </w:rPr>
              <w:t>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480" w:firstLineChars="200"/>
              <w:jc w:val="left"/>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sz w:val="24"/>
                <w:highlight w:val="none"/>
              </w:rPr>
              <w:t>签字盖章</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sz w:val="24"/>
                <w:highlight w:val="none"/>
              </w:rPr>
              <w:t>投标人必须按照招标文件的规定和要求签字、盖章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2"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20</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投标文件份数</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sz w:val="24"/>
                <w:highlight w:val="none"/>
              </w:rPr>
              <w:t>投标文件的数目：正本壹份、副本</w:t>
            </w:r>
            <w:r>
              <w:rPr>
                <w:rFonts w:hint="eastAsia" w:ascii="宋体" w:hAnsi="宋体"/>
                <w:sz w:val="24"/>
                <w:highlight w:val="none"/>
                <w:lang w:val="en-US" w:eastAsia="zh-CN"/>
              </w:rPr>
              <w:t>肆</w:t>
            </w:r>
            <w:r>
              <w:rPr>
                <w:rFonts w:hint="eastAsia" w:ascii="宋体" w:hAnsi="宋体"/>
                <w:sz w:val="24"/>
                <w:highlight w:val="none"/>
              </w:rPr>
              <w:t>份，开标一览表壹份、电子版投标文件壹份且各自单独密封；电子版投标文件的格式为：文件采用WORD文档。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21</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kern w:val="2"/>
                <w:sz w:val="24"/>
                <w:szCs w:val="24"/>
                <w:highlight w:val="none"/>
                <w:lang w:val="en-US" w:eastAsia="zh-CN" w:bidi="ar-SA"/>
              </w:rPr>
            </w:pPr>
            <w:r>
              <w:rPr>
                <w:rFonts w:hint="eastAsia" w:ascii="宋体" w:hAnsi="宋体"/>
                <w:sz w:val="24"/>
                <w:highlight w:val="none"/>
              </w:rPr>
              <w:t>投标文件的装订</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both"/>
              <w:textAlignment w:val="auto"/>
              <w:rPr>
                <w:rFonts w:hint="eastAsia" w:ascii="宋体" w:hAnsi="Times New Roman" w:eastAsia="宋体" w:cs="Times New Roman"/>
                <w:bCs/>
                <w:color w:val="auto"/>
                <w:kern w:val="2"/>
                <w:sz w:val="24"/>
                <w:szCs w:val="24"/>
                <w:highlight w:val="none"/>
                <w:lang w:val="en-US" w:eastAsia="zh-CN" w:bidi="ar-SA"/>
              </w:rPr>
            </w:pPr>
            <w:r>
              <w:rPr>
                <w:rFonts w:hint="eastAsia" w:ascii="宋体" w:hAnsi="宋体" w:eastAsia="宋体" w:cs="Times New Roman"/>
                <w:sz w:val="24"/>
                <w:highlight w:val="none"/>
              </w:rPr>
              <w:t>正本、副本分别装订。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6"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2</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sz w:val="24"/>
                <w:highlight w:val="none"/>
              </w:rPr>
            </w:pPr>
            <w:r>
              <w:rPr>
                <w:rFonts w:hint="eastAsia" w:ascii="宋体" w:hAnsi="宋体"/>
                <w:sz w:val="24"/>
                <w:highlight w:val="none"/>
              </w:rPr>
              <w:t>投标文件封面的标注</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ascii="宋体" w:hAnsi="Times New Roman" w:eastAsia="宋体" w:cs="Times New Roman"/>
                <w:bCs/>
                <w:color w:val="auto"/>
                <w:sz w:val="24"/>
                <w:highlight w:val="none"/>
              </w:rPr>
            </w:pPr>
            <w:r>
              <w:rPr>
                <w:rFonts w:hint="eastAsia" w:ascii="宋体" w:hAnsi="宋体" w:eastAsia="宋体" w:cs="Times New Roman"/>
                <w:sz w:val="24"/>
                <w:highlight w:val="none"/>
              </w:rPr>
              <w:t>投标文件正本和副本的封面上均应标明：投标项目名称、项目编号、分包号（如有分包）、投标人名称、年月日；并分别在右上角标“正本”和“副本”字样，并加盖单位公章。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4"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3</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center"/>
              <w:textAlignment w:val="auto"/>
              <w:rPr>
                <w:rFonts w:ascii="宋体" w:hAnsi="Times New Roman" w:eastAsia="宋体" w:cs="Times New Roman"/>
                <w:color w:val="auto"/>
                <w:sz w:val="24"/>
                <w:highlight w:val="none"/>
              </w:rPr>
            </w:pPr>
            <w:r>
              <w:rPr>
                <w:rFonts w:hint="eastAsia" w:ascii="宋体" w:hAnsi="宋体"/>
                <w:sz w:val="24"/>
                <w:highlight w:val="none"/>
              </w:rPr>
              <w:t>投标文件外层密封袋的标注</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Times New Roman"/>
                <w:sz w:val="24"/>
                <w:highlight w:val="none"/>
              </w:rPr>
            </w:pPr>
            <w:r>
              <w:rPr>
                <w:rFonts w:hint="eastAsia" w:ascii="宋体" w:hAnsi="宋体" w:eastAsia="宋体" w:cs="Times New Roman"/>
                <w:sz w:val="24"/>
                <w:highlight w:val="none"/>
              </w:rPr>
              <w:t>招标项目名称</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招标编号、分包号（如有分包）、投标人名称</w:t>
            </w:r>
          </w:p>
          <w:p>
            <w:pPr>
              <w:keepNext w:val="0"/>
              <w:keepLines w:val="0"/>
              <w:pageBreakBefore w:val="0"/>
              <w:kinsoku/>
              <w:wordWrap/>
              <w:overflowPunct/>
              <w:topLinePunct w:val="0"/>
              <w:autoSpaceDE/>
              <w:autoSpaceDN/>
              <w:bidi w:val="0"/>
              <w:adjustRightInd/>
              <w:snapToGrid/>
              <w:spacing w:line="300" w:lineRule="exact"/>
              <w:ind w:left="120" w:leftChars="0" w:right="62" w:rightChars="0" w:hanging="120" w:hangingChars="50"/>
              <w:jc w:val="both"/>
              <w:textAlignment w:val="auto"/>
              <w:rPr>
                <w:rFonts w:hint="eastAsia" w:ascii="宋体" w:hAnsi="宋体" w:eastAsia="宋体" w:cs="Times New Roman"/>
                <w:color w:val="auto"/>
                <w:sz w:val="24"/>
                <w:highlight w:val="none"/>
              </w:rPr>
            </w:pPr>
            <w:r>
              <w:rPr>
                <w:rFonts w:hint="eastAsia" w:ascii="宋体" w:hAnsi="宋体" w:eastAsia="宋体" w:cs="Times New Roman"/>
                <w:sz w:val="24"/>
                <w:highlight w:val="none"/>
              </w:rPr>
              <w:t>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4</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sz w:val="24"/>
                <w:highlight w:val="none"/>
              </w:rPr>
              <w:t>递交投标文件的地点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beforeLines="10" w:afterLines="10" w:line="300" w:lineRule="exact"/>
              <w:ind w:left="0" w:right="0" w:firstLine="0" w:firstLineChars="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和田市公共资源交易中心开标二厅（和田市北京工业园区滨河路10号三桥桥头处）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5</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评标委员的组建</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评标委员会构成：</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人，其中招标人代表</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rPr>
              <w:t>人，专家</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人；</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评标专家确定方式：由招标代理在开标前72小时在新疆政府采购专家库中随机抽取此次评标专家</w:t>
            </w:r>
            <w:r>
              <w:rPr>
                <w:rFonts w:hint="eastAsia" w:ascii="宋体" w:hAnsi="宋体" w:eastAsia="宋体" w:cs="Times New Roman"/>
                <w:color w:val="auto"/>
                <w:sz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7"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ascii="宋体" w:hAnsi="宋体" w:eastAsia="宋体" w:cs="Times New Roman"/>
                <w:color w:val="auto"/>
                <w:sz w:val="24"/>
                <w:highlight w:val="none"/>
              </w:rPr>
              <w:t>2</w:t>
            </w:r>
            <w:r>
              <w:rPr>
                <w:rFonts w:hint="eastAsia" w:ascii="宋体" w:hAnsi="宋体" w:eastAsia="宋体" w:cs="Times New Roman"/>
                <w:color w:val="auto"/>
                <w:sz w:val="24"/>
                <w:highlight w:val="none"/>
              </w:rPr>
              <w:t>6</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开标时间和地点</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开标时间：20</w:t>
            </w:r>
            <w:r>
              <w:rPr>
                <w:rFonts w:hint="eastAsia" w:ascii="宋体" w:hAnsi="宋体" w:eastAsia="宋体" w:cs="Times New Roman"/>
                <w:color w:val="auto"/>
                <w:sz w:val="24"/>
                <w:highlight w:val="none"/>
                <w:lang w:val="en-US" w:eastAsia="zh-CN"/>
              </w:rPr>
              <w:t>20年</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lang w:val="en-US" w:eastAsia="zh-CN"/>
              </w:rPr>
              <w:t>月</w:t>
            </w:r>
            <w:r>
              <w:rPr>
                <w:rFonts w:hint="eastAsia" w:ascii="宋体" w:hAnsi="宋体" w:cs="Times New Roman"/>
                <w:color w:val="auto"/>
                <w:sz w:val="24"/>
                <w:highlight w:val="none"/>
                <w:lang w:val="en-US" w:eastAsia="zh-CN"/>
              </w:rPr>
              <w:t>0</w:t>
            </w:r>
            <w:bookmarkStart w:id="53" w:name="_GoBack"/>
            <w:bookmarkEnd w:id="53"/>
            <w:r>
              <w:rPr>
                <w:rFonts w:hint="eastAsia" w:ascii="宋体" w:hAnsi="宋体" w:cs="Times New Roman"/>
                <w:color w:val="auto"/>
                <w:sz w:val="24"/>
                <w:highlight w:val="none"/>
                <w:lang w:val="en-US" w:eastAsia="zh-CN"/>
              </w:rPr>
              <w:t>3</w:t>
            </w:r>
            <w:r>
              <w:rPr>
                <w:rFonts w:hint="eastAsia" w:ascii="宋体" w:hAnsi="宋体" w:cs="Times New Roman"/>
                <w:color w:val="auto"/>
                <w:sz w:val="24"/>
                <w:highlight w:val="none"/>
                <w:lang w:eastAsia="zh-CN"/>
              </w:rPr>
              <w:t>源交易中心开标二厅（和田市北京工业园区滨河路10号三桥桥头处）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9" w:hRule="atLeast"/>
          <w:jc w:val="center"/>
        </w:trPr>
        <w:tc>
          <w:tcPr>
            <w:tcW w:w="701"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2</w:t>
            </w:r>
            <w:r>
              <w:rPr>
                <w:rFonts w:hint="eastAsia" w:ascii="宋体" w:hAnsi="宋体" w:cs="Times New Roman"/>
                <w:color w:val="auto"/>
                <w:sz w:val="24"/>
                <w:highlight w:val="none"/>
                <w:lang w:val="en-US" w:eastAsia="zh-CN"/>
              </w:rPr>
              <w:t>7</w:t>
            </w:r>
          </w:p>
        </w:tc>
        <w:tc>
          <w:tcPr>
            <w:tcW w:w="2040"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宋体" w:eastAsia="宋体" w:cs="Times New Roman"/>
                <w:color w:val="auto"/>
                <w:sz w:val="24"/>
                <w:highlight w:val="none"/>
              </w:rPr>
            </w:pPr>
            <w:r>
              <w:rPr>
                <w:rFonts w:hint="eastAsia" w:ascii="宋体" w:hAnsi="宋体" w:eastAsia="宋体" w:cs="Times New Roman"/>
                <w:color w:val="auto"/>
                <w:sz w:val="24"/>
                <w:highlight w:val="none"/>
              </w:rPr>
              <w:t>履约保证金</w:t>
            </w:r>
          </w:p>
        </w:tc>
        <w:tc>
          <w:tcPr>
            <w:tcW w:w="6814" w:type="dxa"/>
            <w:tcBorders>
              <w:top w:val="single" w:color="auto" w:sz="4"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ascii="宋体" w:hAnsi="宋体" w:eastAsia="宋体" w:cs="Times New Roman"/>
                <w:bCs/>
                <w:color w:val="auto"/>
                <w:sz w:val="24"/>
                <w:highlight w:val="none"/>
              </w:rPr>
            </w:pPr>
            <w:r>
              <w:rPr>
                <w:rFonts w:hint="eastAsia" w:ascii="宋体" w:hAnsi="宋体" w:eastAsia="宋体" w:cs="Times New Roman"/>
                <w:color w:val="auto"/>
                <w:sz w:val="24"/>
                <w:highlight w:val="none"/>
              </w:rPr>
              <w:t>合同签订前缴纳中标价的10%履约保证金。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38" w:hRule="atLeast"/>
          <w:jc w:val="center"/>
        </w:trPr>
        <w:tc>
          <w:tcPr>
            <w:tcW w:w="701"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28</w:t>
            </w:r>
          </w:p>
        </w:tc>
        <w:tc>
          <w:tcPr>
            <w:tcW w:w="2040"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采购项目需要落实的政府采购政策</w:t>
            </w:r>
          </w:p>
        </w:tc>
        <w:tc>
          <w:tcPr>
            <w:tcW w:w="6814" w:type="dxa"/>
            <w:tcBorders>
              <w:top w:val="single" w:color="auto" w:sz="4" w:space="0"/>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根据中华人民共和国财政部、中华人民共和国工业和信息化部《政府采购促进中小企业发展暂行办法》（财库[2011]181 号）文件的规定，属于中小企业评审优惠内容及幅度如下：</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对于非专门面向中小企业的项目，对小型和微型企业（或联合体各方均为小型、微型企业的）产品的价格给予6%的扣除，用扣除后的价格参与价格分的评审。</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小型和微型企业适用价格扣除办法时应提供的相关资料：①、《中小企业声明函》；②、提供投标人工商行政登记所在地管理部门出具的小微企业证明文件；③、小微企业的认定由评标委员会根据投标人提供的资料进行认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60"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default" w:ascii="宋体" w:hAnsi="Times New Roman"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29</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ascii="宋体" w:hAnsi="Times New Roman" w:eastAsia="宋体" w:cs="Times New Roman"/>
                <w:color w:val="auto"/>
                <w:sz w:val="24"/>
                <w:highlight w:val="none"/>
              </w:rPr>
            </w:pPr>
            <w:r>
              <w:rPr>
                <w:rFonts w:hint="eastAsia" w:ascii="宋体" w:hAnsi="宋体" w:eastAsia="宋体" w:cs="Times New Roman"/>
                <w:color w:val="auto"/>
                <w:sz w:val="24"/>
                <w:highlight w:val="none"/>
              </w:rPr>
              <w:t>其他说明</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特别提醒：</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1、所有投标人的报价高于采购预算额度视为无效报价（即作否决投标处理）。</w:t>
            </w:r>
          </w:p>
          <w:p>
            <w:pPr>
              <w:keepNext w:val="0"/>
              <w:keepLines w:val="0"/>
              <w:pageBreakBefore w:val="0"/>
              <w:kinsoku/>
              <w:wordWrap/>
              <w:overflowPunct/>
              <w:topLinePunct w:val="0"/>
              <w:autoSpaceDE/>
              <w:autoSpaceDN/>
              <w:bidi w:val="0"/>
              <w:adjustRightInd/>
              <w:snapToGrid/>
              <w:spacing w:line="300" w:lineRule="exact"/>
              <w:ind w:left="0" w:right="0" w:firstLine="480" w:firstLineChars="200"/>
              <w:jc w:val="both"/>
              <w:textAlignment w:val="auto"/>
              <w:rPr>
                <w:rFonts w:hint="eastAsia" w:ascii="宋体" w:hAnsi="宋体" w:eastAsia="宋体" w:cs="Times New Roman"/>
                <w:color w:val="0000FF"/>
                <w:sz w:val="24"/>
                <w:highlight w:val="none"/>
              </w:rPr>
            </w:pPr>
            <w:r>
              <w:rPr>
                <w:rFonts w:hint="eastAsia" w:ascii="宋体" w:hAnsi="宋体" w:eastAsia="宋体" w:cs="Times New Roman"/>
                <w:color w:val="0000FF"/>
                <w:sz w:val="24"/>
                <w:highlight w:val="none"/>
              </w:rPr>
              <w:t>2、所有投标人的报价明显低于其他投标报价或者在设有标底时明显低于标底，使得其投标报价可能低于其个别成本的，应当要求该投标人作出书面说明并提供相应证明材料。投标人不能合理或者不能提供相应证明材料的，由评标委员会认定该投标人以低于成本报价竞标</w:t>
            </w:r>
            <w:r>
              <w:rPr>
                <w:rFonts w:hint="eastAsia" w:ascii="宋体" w:hAnsi="宋体" w:eastAsia="宋体" w:cs="Times New Roman"/>
                <w:color w:val="0000FF"/>
                <w:sz w:val="24"/>
                <w:highlight w:val="none"/>
                <w:lang w:eastAsia="zh-CN"/>
              </w:rPr>
              <w:t>，</w:t>
            </w:r>
            <w:r>
              <w:rPr>
                <w:rFonts w:hint="eastAsia" w:ascii="宋体" w:hAnsi="宋体" w:eastAsia="宋体" w:cs="Times New Roman"/>
                <w:color w:val="0000FF"/>
                <w:sz w:val="24"/>
                <w:highlight w:val="none"/>
              </w:rPr>
              <w:t>其投标视为无效标处理。</w:t>
            </w:r>
          </w:p>
          <w:p>
            <w:pPr>
              <w:pStyle w:val="2"/>
              <w:ind w:firstLine="480" w:firstLineChars="200"/>
              <w:rPr>
                <w:rFonts w:hint="default" w:ascii="宋体" w:hAnsi="宋体" w:eastAsia="宋体" w:cs="Times New Roman"/>
                <w:color w:val="0000FF"/>
                <w:kern w:val="2"/>
                <w:sz w:val="24"/>
                <w:szCs w:val="24"/>
                <w:highlight w:val="none"/>
                <w:lang w:val="en-US" w:eastAsia="zh-CN" w:bidi="ar-SA"/>
              </w:rPr>
            </w:pPr>
            <w:r>
              <w:rPr>
                <w:rFonts w:hint="eastAsia" w:ascii="宋体" w:hAnsi="宋体" w:eastAsia="宋体" w:cs="Times New Roman"/>
                <w:color w:val="0000FF"/>
                <w:kern w:val="2"/>
                <w:sz w:val="24"/>
                <w:szCs w:val="24"/>
                <w:highlight w:val="none"/>
                <w:lang w:val="en-US" w:eastAsia="zh-CN" w:bidi="ar-SA"/>
              </w:rPr>
              <w:t>3、所有投标单位对招标文件中所有条款如有疑问或异议请在开标以书面形式提出，否则不予受理。</w:t>
            </w:r>
          </w:p>
          <w:p>
            <w:pPr>
              <w:pStyle w:val="2"/>
              <w:ind w:firstLine="480" w:firstLineChars="200"/>
              <w:rPr>
                <w:rFonts w:hint="eastAsia"/>
              </w:rPr>
            </w:pPr>
            <w:r>
              <w:rPr>
                <w:rFonts w:hint="eastAsia" w:ascii="宋体" w:hAnsi="宋体" w:eastAsia="宋体" w:cs="Times New Roman"/>
                <w:color w:val="0000FF"/>
                <w:kern w:val="2"/>
                <w:sz w:val="24"/>
                <w:szCs w:val="24"/>
                <w:highlight w:val="none"/>
                <w:lang w:val="en-US" w:eastAsia="zh-CN" w:bidi="ar-SA"/>
              </w:rPr>
              <w:t>4、投标企业如要弃标以书面形式将弃标函交至招标代理公司，否则将按照相关规定对未提交弃标函的企业做出相应处罚。</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color w:val="0000FF"/>
                <w:sz w:val="24"/>
                <w:highlight w:val="none"/>
                <w:lang w:val="en-US" w:eastAsia="zh-CN"/>
              </w:rPr>
            </w:pPr>
            <w:r>
              <w:rPr>
                <w:rFonts w:hint="eastAsia" w:ascii="宋体" w:hAnsi="宋体" w:cs="Times New Roman"/>
                <w:b/>
                <w:bCs/>
                <w:color w:val="0000FF"/>
                <w:sz w:val="24"/>
                <w:highlight w:val="none"/>
                <w:lang w:val="en-US" w:eastAsia="zh-CN"/>
              </w:rPr>
              <w:t>5</w:t>
            </w:r>
            <w:r>
              <w:rPr>
                <w:rFonts w:hint="eastAsia" w:ascii="宋体" w:hAnsi="宋体" w:eastAsia="宋体" w:cs="Times New Roman"/>
                <w:b/>
                <w:bCs/>
                <w:color w:val="0000FF"/>
                <w:sz w:val="24"/>
                <w:highlight w:val="none"/>
                <w:lang w:val="en-US" w:eastAsia="zh-CN"/>
              </w:rPr>
              <w:t>、为确保投标保证金的及时退还，评标结束后投标企业需提供保证金汇款凭证、开户许可证复印件、收据并注明开户行行号、联系方式（加盖公司鲜公章）交至和田市公共资源交易中心财务室办理。（注：废标项目投标保证金在后续项目再次招标时银行系统不做统计，投标企业及时办理退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8" w:hRule="atLeast"/>
          <w:jc w:val="center"/>
        </w:trPr>
        <w:tc>
          <w:tcPr>
            <w:tcW w:w="701" w:type="dxa"/>
            <w:vAlign w:val="center"/>
          </w:tcPr>
          <w:p>
            <w:pPr>
              <w:keepNext w:val="0"/>
              <w:keepLines w:val="0"/>
              <w:pageBreakBefore w:val="0"/>
              <w:kinsoku/>
              <w:wordWrap/>
              <w:overflowPunct/>
              <w:topLinePunct w:val="0"/>
              <w:autoSpaceDE/>
              <w:autoSpaceDN/>
              <w:bidi w:val="0"/>
              <w:adjustRightInd/>
              <w:snapToGrid/>
              <w:spacing w:line="300" w:lineRule="exact"/>
              <w:ind w:left="0" w:right="0" w:firstLine="240" w:firstLineChars="100"/>
              <w:jc w:val="both"/>
              <w:textAlignment w:val="auto"/>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30</w:t>
            </w:r>
          </w:p>
        </w:tc>
        <w:tc>
          <w:tcPr>
            <w:tcW w:w="2040"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补充说明</w:t>
            </w:r>
          </w:p>
        </w:tc>
        <w:tc>
          <w:tcPr>
            <w:tcW w:w="6814"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各投标人随身携带下列有效证件以备随时查验：</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1、法人委托人须携带法人代表授权书原件及委托人身份证原件(授权书需附法人身份证及委托人身份证复印件)；被授权委托人在本单位缴纳的近</w:t>
            </w:r>
            <w:r>
              <w:rPr>
                <w:rFonts w:hint="eastAsia" w:ascii="宋体" w:hAnsi="宋体" w:cs="Times New Roman"/>
                <w:b/>
                <w:bCs/>
                <w:color w:val="0000FF"/>
                <w:sz w:val="24"/>
                <w:highlight w:val="none"/>
                <w:lang w:val="en-US" w:eastAsia="zh-CN"/>
              </w:rPr>
              <w:t>六</w:t>
            </w:r>
            <w:r>
              <w:rPr>
                <w:rFonts w:hint="eastAsia" w:ascii="宋体" w:hAnsi="宋体" w:eastAsia="宋体" w:cs="Times New Roman"/>
                <w:b/>
                <w:bCs/>
                <w:color w:val="0000FF"/>
                <w:sz w:val="24"/>
                <w:highlight w:val="none"/>
                <w:lang w:val="en-US" w:eastAsia="zh-CN"/>
              </w:rPr>
              <w:t>个月内社保缴纳证明（社保缴费凭证原件和个人明细表）；</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eastAsia="宋体" w:cs="Times New Roman"/>
                <w:b/>
                <w:bCs/>
                <w:color w:val="0000FF"/>
                <w:sz w:val="24"/>
                <w:highlight w:val="none"/>
                <w:lang w:val="en-US" w:eastAsia="zh-CN"/>
              </w:rPr>
              <w:t>2、有效的营业执照、税务登记证、组织机构代码证（或三证合一营业执照）；</w:t>
            </w:r>
          </w:p>
          <w:p>
            <w:pPr>
              <w:pStyle w:val="2"/>
              <w:ind w:firstLine="482" w:firstLineChars="200"/>
              <w:rPr>
                <w:rFonts w:hint="eastAsia"/>
                <w:lang w:val="en-US" w:eastAsia="zh-CN"/>
              </w:rPr>
            </w:pPr>
            <w:r>
              <w:rPr>
                <w:rFonts w:hint="eastAsia" w:ascii="宋体" w:hAnsi="宋体" w:cs="Times New Roman"/>
                <w:b/>
                <w:bCs/>
                <w:color w:val="0000FF"/>
                <w:kern w:val="2"/>
                <w:sz w:val="24"/>
                <w:szCs w:val="24"/>
                <w:highlight w:val="none"/>
                <w:lang w:val="en-US" w:eastAsia="zh-CN" w:bidi="ar-SA"/>
              </w:rPr>
              <w:t>3、</w:t>
            </w:r>
            <w:r>
              <w:rPr>
                <w:rFonts w:hint="eastAsia" w:ascii="宋体" w:hAnsi="宋体" w:eastAsia="宋体" w:cs="Times New Roman"/>
                <w:b/>
                <w:bCs/>
                <w:color w:val="0000FF"/>
                <w:kern w:val="2"/>
                <w:sz w:val="24"/>
                <w:szCs w:val="24"/>
                <w:highlight w:val="none"/>
                <w:lang w:val="en-US" w:eastAsia="zh-CN" w:bidi="ar-SA"/>
              </w:rPr>
              <w:t>建设工程质量检测机构资质证书（须包含主体结构工程检测等专项检测）原件</w:t>
            </w:r>
          </w:p>
          <w:p>
            <w:pPr>
              <w:keepNext w:val="0"/>
              <w:keepLines w:val="0"/>
              <w:pageBreakBefore w:val="0"/>
              <w:kinsoku/>
              <w:wordWrap/>
              <w:overflowPunct/>
              <w:topLinePunct w:val="0"/>
              <w:autoSpaceDE/>
              <w:autoSpaceDN/>
              <w:bidi w:val="0"/>
              <w:adjustRightInd/>
              <w:snapToGrid/>
              <w:spacing w:line="300" w:lineRule="exact"/>
              <w:ind w:left="239" w:leftChars="114" w:right="0" w:firstLine="120" w:firstLineChars="50"/>
              <w:jc w:val="both"/>
              <w:textAlignment w:val="auto"/>
              <w:rPr>
                <w:rFonts w:hint="eastAsia" w:ascii="宋体" w:hAnsi="宋体" w:eastAsia="宋体" w:cs="Times New Roman"/>
                <w:b/>
                <w:bCs/>
                <w:color w:val="0000FF"/>
                <w:sz w:val="24"/>
                <w:highlight w:val="none"/>
                <w:lang w:val="en-US" w:eastAsia="zh-CN"/>
              </w:rPr>
            </w:pPr>
            <w:r>
              <w:rPr>
                <w:rFonts w:hint="eastAsia" w:ascii="宋体" w:hAnsi="宋体" w:cs="Times New Roman"/>
                <w:b/>
                <w:bCs/>
                <w:color w:val="0000FF"/>
                <w:sz w:val="24"/>
                <w:highlight w:val="none"/>
                <w:lang w:val="en-US" w:eastAsia="zh-CN"/>
              </w:rPr>
              <w:t>4</w:t>
            </w:r>
            <w:r>
              <w:rPr>
                <w:rFonts w:hint="eastAsia" w:ascii="宋体" w:hAnsi="宋体" w:eastAsia="宋体" w:cs="Times New Roman"/>
                <w:b/>
                <w:bCs/>
                <w:color w:val="0000FF"/>
                <w:sz w:val="24"/>
                <w:highlight w:val="none"/>
                <w:lang w:val="en-US" w:eastAsia="zh-CN"/>
              </w:rPr>
              <w:t>、具有良好的商业信誉和健全的财务会计制度（提供</w:t>
            </w:r>
            <w:r>
              <w:rPr>
                <w:rFonts w:hint="eastAsia" w:ascii="宋体" w:hAnsi="宋体" w:cs="Times New Roman"/>
                <w:b/>
                <w:bCs/>
                <w:color w:val="0000FF"/>
                <w:sz w:val="24"/>
                <w:highlight w:val="none"/>
                <w:lang w:val="en-US" w:eastAsia="zh-CN"/>
              </w:rPr>
              <w:t>2019</w:t>
            </w:r>
            <w:r>
              <w:rPr>
                <w:rFonts w:hint="eastAsia" w:ascii="宋体" w:hAnsi="宋体" w:eastAsia="宋体" w:cs="Times New Roman"/>
                <w:b/>
                <w:bCs/>
                <w:color w:val="0000FF"/>
                <w:sz w:val="24"/>
                <w:highlight w:val="none"/>
                <w:lang w:val="en-US" w:eastAsia="zh-CN"/>
              </w:rPr>
              <w:t>年度财务审计报告）；</w:t>
            </w:r>
          </w:p>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default" w:ascii="宋体" w:hAnsi="宋体" w:eastAsia="宋体" w:cs="Times New Roman"/>
                <w:b/>
                <w:bCs/>
                <w:color w:val="0000FF"/>
                <w:sz w:val="24"/>
                <w:highlight w:val="none"/>
                <w:lang w:val="en-US" w:eastAsia="zh-CN"/>
              </w:rPr>
            </w:pPr>
            <w:r>
              <w:rPr>
                <w:rFonts w:hint="eastAsia" w:ascii="宋体" w:hAnsi="宋体" w:cs="Times New Roman"/>
                <w:b/>
                <w:bCs/>
                <w:color w:val="0000FF"/>
                <w:sz w:val="24"/>
                <w:highlight w:val="none"/>
                <w:lang w:val="en-US" w:eastAsia="zh-CN"/>
              </w:rPr>
              <w:t>5</w:t>
            </w:r>
            <w:r>
              <w:rPr>
                <w:rFonts w:hint="eastAsia" w:ascii="宋体" w:hAnsi="宋体" w:eastAsia="宋体" w:cs="Times New Roman"/>
                <w:b/>
                <w:bCs/>
                <w:color w:val="0000FF"/>
                <w:sz w:val="24"/>
                <w:highlight w:val="none"/>
                <w:lang w:val="en-US" w:eastAsia="zh-CN"/>
              </w:rPr>
              <w:t>、投标保证金电子凭证；</w:t>
            </w:r>
          </w:p>
          <w:p>
            <w:pPr>
              <w:keepNext w:val="0"/>
              <w:keepLines w:val="0"/>
              <w:pageBreakBefore w:val="0"/>
              <w:kinsoku/>
              <w:wordWrap/>
              <w:overflowPunct/>
              <w:topLinePunct w:val="0"/>
              <w:autoSpaceDE/>
              <w:autoSpaceDN/>
              <w:bidi w:val="0"/>
              <w:adjustRightInd/>
              <w:snapToGrid/>
              <w:spacing w:line="300" w:lineRule="exact"/>
              <w:ind w:left="0" w:right="0" w:firstLine="0" w:firstLineChars="0"/>
              <w:jc w:val="both"/>
              <w:textAlignment w:val="auto"/>
              <w:rPr>
                <w:rFonts w:hint="eastAsia" w:ascii="宋体" w:hAnsi="宋体" w:eastAsia="宋体" w:cs="Times New Roman"/>
                <w:color w:val="0000FF"/>
                <w:sz w:val="24"/>
                <w:highlight w:val="none"/>
                <w:lang w:val="en-US" w:eastAsia="zh-CN"/>
              </w:rPr>
            </w:pPr>
            <w:r>
              <w:rPr>
                <w:rFonts w:hint="eastAsia" w:ascii="宋体" w:hAnsi="宋体" w:eastAsia="宋体" w:cs="Times New Roman"/>
                <w:b/>
                <w:bCs/>
                <w:color w:val="0000FF"/>
                <w:sz w:val="24"/>
                <w:highlight w:val="none"/>
                <w:lang w:val="en-US" w:eastAsia="zh-CN"/>
              </w:rPr>
              <w:t>注：法定代表人授权委托书应当单独提供，并与投标文件中所提供的相一致。以上证件均应当为原件。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555" w:type="dxa"/>
            <w:gridSpan w:val="3"/>
            <w:vAlign w:val="center"/>
          </w:tcPr>
          <w:p>
            <w:pPr>
              <w:keepNext w:val="0"/>
              <w:keepLines w:val="0"/>
              <w:pageBreakBefore w:val="0"/>
              <w:kinsoku/>
              <w:wordWrap/>
              <w:overflowPunct/>
              <w:topLinePunct w:val="0"/>
              <w:autoSpaceDE/>
              <w:autoSpaceDN/>
              <w:bidi w:val="0"/>
              <w:adjustRightInd/>
              <w:snapToGrid/>
              <w:spacing w:line="300" w:lineRule="exact"/>
              <w:ind w:left="0" w:right="0" w:firstLine="482" w:firstLineChars="200"/>
              <w:jc w:val="both"/>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b/>
                <w:bCs/>
                <w:color w:val="auto"/>
                <w:sz w:val="24"/>
                <w:highlight w:val="none"/>
                <w:lang w:val="en-US" w:eastAsia="zh-CN"/>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的同时不得耽误本项目供货。</w:t>
            </w:r>
          </w:p>
        </w:tc>
      </w:tr>
    </w:tbl>
    <w:p>
      <w:pPr>
        <w:spacing w:line="500" w:lineRule="exact"/>
        <w:ind w:left="0" w:leftChars="0" w:firstLine="0" w:firstLineChars="0"/>
        <w:jc w:val="both"/>
        <w:rPr>
          <w:rFonts w:hint="eastAsia" w:ascii="宋体" w:hAnsi="宋体" w:cs="宋体"/>
          <w:b/>
          <w:sz w:val="24"/>
        </w:rPr>
      </w:pPr>
    </w:p>
    <w:p>
      <w:pPr>
        <w:spacing w:line="500" w:lineRule="exact"/>
        <w:ind w:left="120" w:hanging="120"/>
        <w:jc w:val="center"/>
        <w:rPr>
          <w:rFonts w:ascii="宋体" w:hAnsi="宋体" w:cs="宋体"/>
          <w:b/>
          <w:sz w:val="24"/>
        </w:rPr>
      </w:pPr>
      <w:r>
        <w:rPr>
          <w:rFonts w:hint="eastAsia" w:ascii="宋体" w:hAnsi="宋体" w:cs="宋体"/>
          <w:b/>
          <w:sz w:val="24"/>
        </w:rPr>
        <w:t>投标人须知正文部分</w:t>
      </w:r>
    </w:p>
    <w:p>
      <w:pPr>
        <w:spacing w:line="500" w:lineRule="exact"/>
        <w:ind w:left="120" w:hanging="120"/>
        <w:jc w:val="center"/>
        <w:rPr>
          <w:rFonts w:ascii="宋体" w:hAnsi="宋体" w:cs="宋体"/>
          <w:b/>
          <w:sz w:val="24"/>
        </w:rPr>
      </w:pPr>
      <w:r>
        <w:rPr>
          <w:rFonts w:hint="eastAsia" w:ascii="宋体" w:hAnsi="宋体" w:cs="宋体"/>
          <w:b/>
          <w:sz w:val="24"/>
        </w:rPr>
        <w:t>一、总  则</w:t>
      </w:r>
    </w:p>
    <w:p>
      <w:pPr>
        <w:spacing w:line="500" w:lineRule="exact"/>
        <w:ind w:firstLine="482" w:firstLineChars="200"/>
        <w:rPr>
          <w:rFonts w:ascii="宋体" w:hAnsi="宋体" w:cs="宋体"/>
          <w:b/>
          <w:sz w:val="24"/>
        </w:rPr>
      </w:pPr>
      <w:r>
        <w:rPr>
          <w:rFonts w:hint="eastAsia" w:ascii="宋体" w:hAnsi="宋体" w:cs="宋体"/>
          <w:b/>
          <w:sz w:val="24"/>
        </w:rPr>
        <w:t>1、适用范围</w:t>
      </w:r>
    </w:p>
    <w:p>
      <w:pPr>
        <w:spacing w:line="500" w:lineRule="exact"/>
        <w:ind w:firstLine="480" w:firstLineChars="200"/>
        <w:rPr>
          <w:rFonts w:ascii="宋体" w:hAnsi="宋体" w:cs="宋体"/>
          <w:sz w:val="24"/>
        </w:rPr>
      </w:pPr>
      <w:r>
        <w:rPr>
          <w:rFonts w:hint="eastAsia" w:ascii="宋体" w:hAnsi="宋体" w:cs="宋体"/>
          <w:sz w:val="24"/>
        </w:rPr>
        <w:t>1.1</w:t>
      </w:r>
      <w:r>
        <w:rPr>
          <w:rFonts w:hint="eastAsia" w:ascii="宋体" w:hAnsi="宋体"/>
          <w:sz w:val="24"/>
        </w:rPr>
        <w:t>本招标文件仅适用于本投标中所述的招标项目</w:t>
      </w:r>
      <w:r>
        <w:rPr>
          <w:rFonts w:hint="eastAsia" w:ascii="宋体" w:hAnsi="宋体" w:cs="宋体"/>
          <w:sz w:val="24"/>
        </w:rPr>
        <w:t>。</w:t>
      </w:r>
    </w:p>
    <w:p>
      <w:pPr>
        <w:spacing w:line="500" w:lineRule="exact"/>
        <w:ind w:firstLine="482" w:firstLineChars="200"/>
        <w:rPr>
          <w:rFonts w:ascii="宋体" w:hAnsi="宋体" w:cs="宋体"/>
          <w:b/>
          <w:sz w:val="24"/>
        </w:rPr>
      </w:pPr>
      <w:r>
        <w:rPr>
          <w:rFonts w:hint="eastAsia" w:ascii="宋体" w:hAnsi="宋体" w:cs="宋体"/>
          <w:b/>
          <w:sz w:val="24"/>
        </w:rPr>
        <w:t>2、合格的投标人</w:t>
      </w:r>
    </w:p>
    <w:p>
      <w:pPr>
        <w:spacing w:line="500" w:lineRule="exact"/>
        <w:ind w:firstLine="463" w:firstLineChars="192"/>
        <w:rPr>
          <w:rFonts w:ascii="宋体" w:hAnsi="宋体" w:cs="宋体"/>
          <w:b/>
          <w:sz w:val="24"/>
        </w:rPr>
      </w:pPr>
      <w:r>
        <w:rPr>
          <w:rFonts w:hint="eastAsia" w:ascii="宋体" w:hAnsi="宋体" w:cs="宋体"/>
          <w:b/>
          <w:sz w:val="24"/>
        </w:rPr>
        <w:t>2.1投标人资格要求：</w:t>
      </w:r>
    </w:p>
    <w:p>
      <w:pPr>
        <w:spacing w:line="500" w:lineRule="exact"/>
        <w:ind w:left="120" w:hanging="120"/>
        <w:rPr>
          <w:rFonts w:hint="eastAsia" w:ascii="宋体" w:hAnsi="宋体" w:cs="宋体"/>
          <w:sz w:val="24"/>
          <w:highlight w:val="none"/>
        </w:rPr>
      </w:pPr>
      <w:r>
        <w:rPr>
          <w:rFonts w:hint="eastAsia" w:ascii="宋体" w:hAnsi="宋体" w:cs="宋体"/>
          <w:sz w:val="24"/>
        </w:rPr>
        <w:t xml:space="preserve">    2.1</w:t>
      </w:r>
      <w:r>
        <w:rPr>
          <w:rFonts w:hint="eastAsia" w:ascii="宋体" w:hAnsi="宋体" w:cs="宋体"/>
          <w:sz w:val="24"/>
          <w:highlight w:val="none"/>
        </w:rPr>
        <w:t>.1、供应商必须符合《中华人民共和国政府采购法》第二十二条规定：具有独立法人资格，有独立承担民事行为责任的能力；能提供本项目全部服务的投标人；</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2.1.2、需具备</w:t>
      </w:r>
      <w:r>
        <w:rPr>
          <w:rFonts w:hint="eastAsia" w:ascii="宋体" w:hAnsi="宋体" w:cs="宋体"/>
          <w:sz w:val="24"/>
          <w:highlight w:val="none"/>
          <w:lang w:val="en-US" w:eastAsia="zh-CN"/>
        </w:rPr>
        <w:t>有效的营业执照、税务登记证、组织机构代码证（或</w:t>
      </w:r>
      <w:r>
        <w:rPr>
          <w:rFonts w:hint="eastAsia" w:ascii="宋体" w:hAnsi="宋体" w:cs="宋体"/>
          <w:sz w:val="24"/>
          <w:highlight w:val="none"/>
        </w:rPr>
        <w:t>三证合一营业执照</w:t>
      </w:r>
      <w:r>
        <w:rPr>
          <w:rFonts w:hint="eastAsia" w:ascii="宋体" w:hAnsi="宋体" w:cs="宋体"/>
          <w:sz w:val="24"/>
          <w:highlight w:val="none"/>
          <w:lang w:eastAsia="zh-CN"/>
        </w:rPr>
        <w:t>）</w:t>
      </w:r>
      <w:r>
        <w:rPr>
          <w:rFonts w:hint="eastAsia" w:ascii="宋体" w:hAnsi="宋体" w:cs="宋体"/>
          <w:sz w:val="24"/>
          <w:highlight w:val="none"/>
        </w:rPr>
        <w:t>，法人委托人须携带法人代表授权书原件及委托人身份证原件(授权书需附法人身份证及委托人身份证复印件)</w:t>
      </w:r>
      <w:r>
        <w:rPr>
          <w:rFonts w:hint="eastAsia" w:ascii="宋体" w:hAnsi="宋体" w:cs="宋体"/>
          <w:sz w:val="24"/>
          <w:highlight w:val="none"/>
          <w:lang w:eastAsia="zh-CN"/>
        </w:rPr>
        <w:t>；被授权委托人在本单位缴纳的近</w:t>
      </w:r>
      <w:r>
        <w:rPr>
          <w:rFonts w:hint="eastAsia" w:ascii="宋体" w:hAnsi="宋体" w:cs="宋体"/>
          <w:sz w:val="24"/>
          <w:highlight w:val="none"/>
          <w:lang w:val="en-US" w:eastAsia="zh-CN"/>
        </w:rPr>
        <w:t>六</w:t>
      </w:r>
      <w:r>
        <w:rPr>
          <w:rFonts w:hint="eastAsia" w:ascii="宋体" w:hAnsi="宋体" w:cs="宋体"/>
          <w:sz w:val="24"/>
          <w:highlight w:val="none"/>
          <w:lang w:eastAsia="zh-CN"/>
        </w:rPr>
        <w:t>个月内社保缴纳证明（社保缴费凭证原件和个人明细表）</w:t>
      </w:r>
      <w:r>
        <w:rPr>
          <w:rFonts w:hint="eastAsia" w:ascii="宋体" w:hAnsi="宋体" w:cs="宋体"/>
          <w:sz w:val="24"/>
          <w:highlight w:val="none"/>
        </w:rPr>
        <w:t>；</w:t>
      </w:r>
    </w:p>
    <w:p>
      <w:pPr>
        <w:spacing w:line="500" w:lineRule="exact"/>
        <w:ind w:left="120" w:hanging="120"/>
        <w:rPr>
          <w:rFonts w:hint="eastAsia" w:ascii="宋体" w:hAnsi="宋体" w:cs="宋体"/>
          <w:sz w:val="24"/>
          <w:highlight w:val="none"/>
        </w:rPr>
      </w:pPr>
      <w:r>
        <w:rPr>
          <w:rFonts w:hint="eastAsia" w:ascii="宋体" w:hAnsi="宋体" w:cs="宋体"/>
          <w:sz w:val="24"/>
          <w:highlight w:val="none"/>
        </w:rPr>
        <w:t xml:space="preserve">    2.1.3</w:t>
      </w:r>
      <w:r>
        <w:rPr>
          <w:rFonts w:hint="eastAsia" w:ascii="宋体" w:hAnsi="宋体" w:cs="宋体"/>
          <w:sz w:val="24"/>
          <w:highlight w:val="none"/>
          <w:lang w:eastAsia="zh-CN"/>
        </w:rPr>
        <w:t>、</w:t>
      </w:r>
      <w:r>
        <w:rPr>
          <w:rFonts w:hint="eastAsia" w:ascii="宋体" w:hAnsi="宋体" w:eastAsia="宋体" w:cs="Times New Roman"/>
          <w:sz w:val="24"/>
          <w:lang w:val="en-US" w:eastAsia="zh-CN"/>
        </w:rPr>
        <w:t>建设工程质量检测机构资质证书（须包含主体结构工程检测等专项检测）原件</w:t>
      </w:r>
      <w:r>
        <w:rPr>
          <w:rFonts w:hint="eastAsia" w:ascii="宋体" w:hAnsi="宋体" w:cs="宋体"/>
          <w:sz w:val="24"/>
          <w:highlight w:val="none"/>
        </w:rPr>
        <w:t>；</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w:t>
      </w:r>
      <w:r>
        <w:rPr>
          <w:rFonts w:hint="eastAsia" w:ascii="宋体" w:hAnsi="宋体" w:cs="宋体"/>
          <w:sz w:val="24"/>
          <w:highlight w:val="none"/>
          <w:lang w:val="en-US" w:eastAsia="zh-CN"/>
        </w:rPr>
        <w:t>4、具有良好的商业信誉和健全的财务会计制度（提供2019年度财务审计报告）</w:t>
      </w:r>
      <w:r>
        <w:rPr>
          <w:rFonts w:hint="eastAsia" w:ascii="宋体" w:hAnsi="宋体" w:cs="宋体"/>
          <w:sz w:val="24"/>
          <w:highlight w:val="none"/>
        </w:rPr>
        <w:t>；</w:t>
      </w:r>
    </w:p>
    <w:p>
      <w:pPr>
        <w:spacing w:line="500" w:lineRule="exact"/>
        <w:ind w:left="120" w:hanging="120"/>
        <w:rPr>
          <w:rFonts w:ascii="宋体" w:hAnsi="宋体" w:cs="宋体"/>
          <w:sz w:val="24"/>
          <w:highlight w:val="none"/>
        </w:rPr>
      </w:pPr>
      <w:r>
        <w:rPr>
          <w:rFonts w:hint="eastAsia" w:ascii="宋体" w:hAnsi="宋体" w:cs="宋体"/>
          <w:sz w:val="24"/>
          <w:highlight w:val="none"/>
        </w:rPr>
        <w:t xml:space="preserve">    2.1.5、</w:t>
      </w:r>
      <w:r>
        <w:rPr>
          <w:rFonts w:hint="eastAsia" w:ascii="宋体" w:hAnsi="宋体" w:eastAsia="宋体" w:cs="宋体"/>
          <w:sz w:val="24"/>
          <w:highlight w:val="none"/>
          <w:lang w:val="en-US" w:eastAsia="zh-CN"/>
        </w:rPr>
        <w:t>凡拟参加本次招标项目的投标人，如在“信用中国”网站(WWW.creditchina.gov.cn)、中国政府釆购网(www.ccgp.gov.cn)、国家企业信用信息公示系统(http://www.gsxt.gov.cn)</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中国裁判文书网（http://wenshu.court.gov.cn/）被列入失信被执行人、重大税收违法案件当事人名单、政府采购严重违法失信行为记录名单的(尚在处罚期内的)、经营异常名录的，将拒绝其参与本次政府釆购活动。</w:t>
      </w:r>
    </w:p>
    <w:p>
      <w:pPr>
        <w:spacing w:line="500" w:lineRule="exact"/>
        <w:ind w:left="239" w:leftChars="114" w:firstLine="360" w:firstLineChars="150"/>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2.1.6、本项目不接受联合体投标。</w:t>
      </w:r>
    </w:p>
    <w:p>
      <w:pPr>
        <w:spacing w:line="500" w:lineRule="exact"/>
        <w:ind w:left="120" w:hanging="120"/>
        <w:rPr>
          <w:rFonts w:ascii="宋体" w:hAnsi="宋体" w:cs="宋体"/>
          <w:sz w:val="24"/>
        </w:rPr>
      </w:pPr>
      <w:r>
        <w:rPr>
          <w:rFonts w:hint="eastAsia" w:ascii="宋体" w:hAnsi="宋体" w:cs="宋体"/>
          <w:sz w:val="24"/>
        </w:rPr>
        <w:t xml:space="preserve">     2.2 投标人在本次招标活动中，必须遵守《中华人民共和国招标投标法》的规定。</w:t>
      </w:r>
    </w:p>
    <w:p>
      <w:pPr>
        <w:spacing w:line="500" w:lineRule="exact"/>
        <w:ind w:firstLine="482" w:firstLineChars="200"/>
        <w:rPr>
          <w:rFonts w:ascii="宋体" w:hAnsi="宋体" w:cs="宋体"/>
          <w:b/>
          <w:sz w:val="24"/>
        </w:rPr>
      </w:pPr>
      <w:r>
        <w:rPr>
          <w:rFonts w:hint="eastAsia" w:ascii="宋体" w:hAnsi="宋体" w:cs="宋体"/>
          <w:b/>
          <w:sz w:val="24"/>
        </w:rPr>
        <w:t>3、定义</w:t>
      </w:r>
    </w:p>
    <w:p>
      <w:pPr>
        <w:pStyle w:val="20"/>
        <w:overflowPunct w:val="0"/>
        <w:spacing w:line="500" w:lineRule="exact"/>
        <w:ind w:firstLine="480"/>
        <w:rPr>
          <w:rFonts w:ascii="宋体" w:hAnsi="宋体" w:cs="宋体"/>
          <w:szCs w:val="24"/>
          <w:lang w:val="zh-CN"/>
        </w:rPr>
      </w:pPr>
      <w:r>
        <w:rPr>
          <w:rFonts w:hint="eastAsia" w:ascii="宋体" w:hAnsi="宋体" w:cs="宋体"/>
          <w:szCs w:val="24"/>
        </w:rPr>
        <w:t>3.1 “招标人”系指合同中明确规定的实际购买货物和服务的法人、行政事业单位、团体组织。</w:t>
      </w:r>
    </w:p>
    <w:p>
      <w:pPr>
        <w:spacing w:line="500" w:lineRule="exact"/>
        <w:ind w:firstLine="480" w:firstLineChars="200"/>
        <w:rPr>
          <w:rFonts w:ascii="宋体" w:hAnsi="宋体" w:cs="宋体"/>
          <w:sz w:val="24"/>
        </w:rPr>
      </w:pPr>
      <w:r>
        <w:rPr>
          <w:rFonts w:hint="eastAsia" w:ascii="宋体" w:hAnsi="宋体" w:cs="宋体"/>
          <w:sz w:val="24"/>
        </w:rPr>
        <w:t>3.2 “投标人”系指响应招标，并按照招标文件的要求参与投标竞争的法人，中标后即为中标人，签定合同后即为卖方。</w:t>
      </w:r>
    </w:p>
    <w:p>
      <w:pPr>
        <w:pStyle w:val="20"/>
        <w:overflowPunct w:val="0"/>
        <w:spacing w:line="500" w:lineRule="exact"/>
        <w:ind w:firstLine="480"/>
        <w:rPr>
          <w:rFonts w:ascii="宋体" w:hAnsi="宋体" w:cs="宋体"/>
          <w:szCs w:val="24"/>
        </w:rPr>
      </w:pPr>
      <w:r>
        <w:rPr>
          <w:rFonts w:hint="eastAsia" w:ascii="宋体" w:hAnsi="宋体" w:cs="宋体"/>
          <w:szCs w:val="24"/>
        </w:rPr>
        <w:t>3.3 “招标机构”系指在委托人授权范围内具体组织实施招标活动的法人。</w:t>
      </w:r>
    </w:p>
    <w:p>
      <w:pPr>
        <w:spacing w:line="500" w:lineRule="exact"/>
        <w:ind w:firstLine="480" w:firstLineChars="200"/>
        <w:rPr>
          <w:rFonts w:ascii="宋体" w:hAnsi="宋体" w:cs="宋体"/>
          <w:sz w:val="24"/>
        </w:rPr>
      </w:pPr>
      <w:r>
        <w:rPr>
          <w:rFonts w:hint="eastAsia" w:ascii="宋体" w:hAnsi="宋体" w:cs="宋体"/>
          <w:sz w:val="24"/>
        </w:rPr>
        <w:t>3.4 “货物”系指卖方按合同要求，须向买方提供的一切产品及其它技术资料和材料。</w:t>
      </w:r>
    </w:p>
    <w:p>
      <w:pPr>
        <w:spacing w:line="500" w:lineRule="exact"/>
        <w:ind w:firstLine="480" w:firstLineChars="200"/>
        <w:rPr>
          <w:rFonts w:ascii="宋体" w:hAnsi="宋体" w:cs="宋体"/>
          <w:sz w:val="24"/>
        </w:rPr>
      </w:pPr>
      <w:r>
        <w:rPr>
          <w:rFonts w:hint="eastAsia" w:ascii="宋体" w:hAnsi="宋体" w:cs="宋体"/>
          <w:sz w:val="24"/>
        </w:rPr>
        <w:t>3.5 “服务”系指合同规定卖方须承担的技术协助、本地化开发、安装、调试和交付使用后免费维护期内应履行的义务及售后服务等其他类似的义务。</w:t>
      </w:r>
    </w:p>
    <w:p>
      <w:pPr>
        <w:spacing w:line="500" w:lineRule="exact"/>
        <w:ind w:firstLine="480" w:firstLineChars="200"/>
        <w:rPr>
          <w:rFonts w:ascii="宋体" w:hAnsi="宋体" w:cs="宋体"/>
          <w:sz w:val="24"/>
        </w:rPr>
      </w:pPr>
      <w:r>
        <w:rPr>
          <w:rFonts w:hint="eastAsia" w:ascii="宋体" w:hAnsi="宋体" w:cs="宋体"/>
          <w:sz w:val="24"/>
        </w:rPr>
        <w:t>3.6 “卖方”系指提供合同货物和服务的法人。</w:t>
      </w:r>
    </w:p>
    <w:p>
      <w:pPr>
        <w:spacing w:line="500" w:lineRule="exact"/>
        <w:ind w:firstLine="480" w:firstLineChars="200"/>
        <w:rPr>
          <w:rFonts w:ascii="宋体" w:hAnsi="宋体" w:cs="宋体"/>
          <w:sz w:val="24"/>
        </w:rPr>
      </w:pPr>
      <w:r>
        <w:rPr>
          <w:rFonts w:hint="eastAsia" w:ascii="宋体" w:hAnsi="宋体" w:cs="宋体"/>
          <w:sz w:val="24"/>
        </w:rPr>
        <w:t>3.7 “买方”系指购买货物的单位。</w:t>
      </w:r>
    </w:p>
    <w:p>
      <w:pPr>
        <w:spacing w:line="500" w:lineRule="exact"/>
        <w:ind w:firstLine="482" w:firstLineChars="200"/>
        <w:rPr>
          <w:rFonts w:ascii="宋体" w:hAnsi="宋体" w:cs="宋体"/>
          <w:b/>
          <w:sz w:val="24"/>
        </w:rPr>
      </w:pPr>
      <w:r>
        <w:rPr>
          <w:rFonts w:hint="eastAsia" w:ascii="宋体" w:hAnsi="宋体" w:cs="宋体"/>
          <w:b/>
          <w:sz w:val="24"/>
        </w:rPr>
        <w:t>4、投标费用</w:t>
      </w:r>
    </w:p>
    <w:p>
      <w:pPr>
        <w:spacing w:line="500" w:lineRule="exact"/>
        <w:ind w:firstLine="480" w:firstLineChars="200"/>
        <w:rPr>
          <w:rFonts w:ascii="宋体" w:hAnsi="宋体" w:cs="宋体"/>
          <w:sz w:val="24"/>
        </w:rPr>
      </w:pPr>
      <w:r>
        <w:rPr>
          <w:rFonts w:hint="eastAsia" w:ascii="宋体" w:hAnsi="宋体" w:cs="宋体"/>
          <w:sz w:val="24"/>
        </w:rPr>
        <w:t>4.1 无论投标结果如何，投标人须自行承担所有与参加投标有关的全部费用,采购人和招标代理机构在任何情况下均无义务和责任承担这些费用。</w:t>
      </w:r>
    </w:p>
    <w:p>
      <w:pPr>
        <w:spacing w:line="500" w:lineRule="exact"/>
        <w:ind w:firstLine="480" w:firstLineChars="200"/>
        <w:rPr>
          <w:rFonts w:ascii="宋体" w:hAnsi="宋体" w:cs="宋体"/>
          <w:sz w:val="24"/>
        </w:rPr>
      </w:pPr>
    </w:p>
    <w:p>
      <w:pPr>
        <w:spacing w:line="500" w:lineRule="exact"/>
        <w:ind w:left="120" w:hanging="120"/>
        <w:jc w:val="center"/>
        <w:rPr>
          <w:rFonts w:ascii="宋体" w:hAnsi="宋体" w:cs="宋体"/>
          <w:b/>
          <w:sz w:val="24"/>
        </w:rPr>
      </w:pPr>
      <w:r>
        <w:rPr>
          <w:rFonts w:hint="eastAsia" w:ascii="宋体" w:hAnsi="宋体" w:cs="宋体"/>
          <w:b/>
          <w:sz w:val="24"/>
        </w:rPr>
        <w:t>二、招标文件</w:t>
      </w:r>
    </w:p>
    <w:p>
      <w:pPr>
        <w:spacing w:line="500" w:lineRule="exact"/>
        <w:ind w:firstLine="482" w:firstLineChars="200"/>
        <w:rPr>
          <w:rFonts w:ascii="宋体" w:hAnsi="宋体" w:cs="宋体"/>
          <w:b/>
          <w:sz w:val="24"/>
        </w:rPr>
      </w:pPr>
      <w:r>
        <w:rPr>
          <w:rFonts w:hint="eastAsia" w:ascii="宋体" w:hAnsi="宋体" w:cs="宋体"/>
          <w:b/>
          <w:sz w:val="24"/>
        </w:rPr>
        <w:t>5、招标文件</w:t>
      </w:r>
    </w:p>
    <w:p>
      <w:pPr>
        <w:spacing w:line="500" w:lineRule="exact"/>
        <w:ind w:firstLine="480" w:firstLineChars="200"/>
        <w:rPr>
          <w:rFonts w:ascii="宋体" w:hAnsi="宋体" w:cs="宋体"/>
          <w:sz w:val="24"/>
        </w:rPr>
      </w:pPr>
      <w:r>
        <w:rPr>
          <w:rFonts w:hint="eastAsia" w:ascii="宋体" w:hAnsi="宋体" w:cs="宋体"/>
          <w:sz w:val="24"/>
        </w:rPr>
        <w:t>5.1 招标文件用以阐明所招标的内容，招标投标程序及合同条款，包括：</w:t>
      </w:r>
    </w:p>
    <w:p>
      <w:pPr>
        <w:spacing w:line="500" w:lineRule="exact"/>
        <w:ind w:firstLine="480" w:firstLineChars="200"/>
        <w:rPr>
          <w:rFonts w:ascii="宋体" w:hAnsi="宋体" w:cs="宋体"/>
          <w:sz w:val="24"/>
        </w:rPr>
      </w:pPr>
      <w:r>
        <w:rPr>
          <w:rFonts w:hint="eastAsia" w:ascii="宋体" w:hAnsi="宋体" w:cs="宋体"/>
          <w:sz w:val="24"/>
        </w:rPr>
        <w:t>5.1.1 投标人须知前附表；</w:t>
      </w:r>
    </w:p>
    <w:p>
      <w:pPr>
        <w:spacing w:line="500" w:lineRule="exact"/>
        <w:ind w:firstLine="480" w:firstLineChars="200"/>
        <w:rPr>
          <w:rFonts w:ascii="宋体" w:hAnsi="宋体" w:cs="宋体"/>
          <w:sz w:val="24"/>
        </w:rPr>
      </w:pPr>
      <w:r>
        <w:rPr>
          <w:rFonts w:hint="eastAsia" w:ascii="宋体" w:hAnsi="宋体" w:cs="宋体"/>
          <w:sz w:val="24"/>
        </w:rPr>
        <w:t>5.1.2 招标书；</w:t>
      </w:r>
    </w:p>
    <w:p>
      <w:pPr>
        <w:spacing w:line="500" w:lineRule="exact"/>
        <w:ind w:firstLine="480" w:firstLineChars="200"/>
        <w:rPr>
          <w:rFonts w:ascii="宋体" w:hAnsi="宋体" w:cs="宋体"/>
          <w:sz w:val="24"/>
        </w:rPr>
      </w:pPr>
      <w:r>
        <w:rPr>
          <w:rFonts w:hint="eastAsia" w:ascii="宋体" w:hAnsi="宋体" w:cs="宋体"/>
          <w:sz w:val="24"/>
        </w:rPr>
        <w:t>5.1.3 投标人须知；</w:t>
      </w:r>
    </w:p>
    <w:p>
      <w:pPr>
        <w:spacing w:line="500" w:lineRule="exact"/>
        <w:ind w:firstLine="480" w:firstLineChars="200"/>
        <w:rPr>
          <w:rFonts w:ascii="宋体" w:hAnsi="宋体" w:cs="宋体"/>
          <w:sz w:val="24"/>
        </w:rPr>
      </w:pPr>
      <w:r>
        <w:rPr>
          <w:rFonts w:hint="eastAsia" w:ascii="宋体" w:hAnsi="宋体" w:cs="宋体"/>
          <w:sz w:val="24"/>
        </w:rPr>
        <w:t>5.1.4 技术要求；</w:t>
      </w:r>
    </w:p>
    <w:p>
      <w:pPr>
        <w:spacing w:line="500" w:lineRule="exact"/>
        <w:ind w:firstLine="480" w:firstLineChars="200"/>
        <w:rPr>
          <w:rFonts w:ascii="宋体" w:hAnsi="宋体" w:cs="宋体"/>
          <w:sz w:val="24"/>
        </w:rPr>
      </w:pPr>
      <w:r>
        <w:rPr>
          <w:rFonts w:hint="eastAsia" w:ascii="宋体" w:hAnsi="宋体" w:cs="宋体"/>
          <w:sz w:val="24"/>
        </w:rPr>
        <w:t>5.1.5合同；</w:t>
      </w:r>
    </w:p>
    <w:p>
      <w:pPr>
        <w:spacing w:line="500" w:lineRule="exact"/>
        <w:ind w:firstLine="480" w:firstLineChars="200"/>
        <w:rPr>
          <w:rFonts w:ascii="宋体" w:hAnsi="宋体" w:cs="宋体"/>
          <w:sz w:val="24"/>
        </w:rPr>
      </w:pPr>
      <w:r>
        <w:rPr>
          <w:rFonts w:hint="eastAsia" w:ascii="宋体" w:hAnsi="宋体" w:cs="宋体"/>
          <w:sz w:val="24"/>
        </w:rPr>
        <w:t>5.16 投标文件格式。</w:t>
      </w:r>
    </w:p>
    <w:p>
      <w:pPr>
        <w:spacing w:line="500" w:lineRule="exact"/>
        <w:ind w:firstLine="480" w:firstLineChars="200"/>
        <w:rPr>
          <w:rFonts w:ascii="宋体" w:hAnsi="宋体" w:cs="宋体"/>
          <w:sz w:val="24"/>
        </w:rPr>
      </w:pPr>
      <w:r>
        <w:rPr>
          <w:rFonts w:hint="eastAsia" w:ascii="宋体" w:hAnsi="宋体" w:cs="宋体"/>
          <w:sz w:val="24"/>
        </w:rPr>
        <w:t>5.2投标人应仔细阅读招标文件中的所有内容。招标机构将拒绝未按招标文件的要求提供全部资料或提交的投标文件未对招标文件作出实质性响应的投标。</w:t>
      </w:r>
    </w:p>
    <w:p>
      <w:pPr>
        <w:spacing w:line="500" w:lineRule="exact"/>
        <w:ind w:firstLine="482" w:firstLineChars="200"/>
        <w:rPr>
          <w:rFonts w:ascii="宋体" w:hAnsi="宋体" w:cs="宋体"/>
          <w:b/>
          <w:sz w:val="24"/>
        </w:rPr>
      </w:pPr>
      <w:r>
        <w:rPr>
          <w:rFonts w:hint="eastAsia" w:ascii="宋体" w:hAnsi="宋体" w:cs="宋体"/>
          <w:b/>
          <w:sz w:val="24"/>
        </w:rPr>
        <w:t>6、招标文件的澄清</w:t>
      </w:r>
    </w:p>
    <w:p>
      <w:pPr>
        <w:spacing w:line="500" w:lineRule="exact"/>
        <w:ind w:firstLine="480" w:firstLineChars="200"/>
        <w:rPr>
          <w:rFonts w:ascii="宋体" w:hAnsi="宋体" w:cs="宋体"/>
          <w:sz w:val="24"/>
        </w:rPr>
      </w:pPr>
      <w:r>
        <w:rPr>
          <w:rFonts w:hint="eastAsia" w:ascii="宋体" w:hAnsi="宋体" w:cs="宋体"/>
          <w:sz w:val="24"/>
        </w:rPr>
        <w:t>6.1 任何要求澄清招标文件的投标人，均应在投标截止日期五天前以书面形式或传真、电报通知招标机构。招标机构将以书面形式予以答复，同时将书面通知每个购买招标文件的投标人。</w:t>
      </w:r>
    </w:p>
    <w:p>
      <w:pPr>
        <w:spacing w:line="500" w:lineRule="exact"/>
        <w:ind w:firstLine="482" w:firstLineChars="200"/>
        <w:rPr>
          <w:rFonts w:ascii="宋体" w:hAnsi="宋体" w:cs="宋体"/>
          <w:b/>
          <w:sz w:val="24"/>
        </w:rPr>
      </w:pPr>
      <w:r>
        <w:rPr>
          <w:rFonts w:hint="eastAsia" w:ascii="宋体" w:hAnsi="宋体" w:cs="宋体"/>
          <w:b/>
          <w:sz w:val="24"/>
        </w:rPr>
        <w:t>7、招标文件的修改</w:t>
      </w:r>
    </w:p>
    <w:p>
      <w:pPr>
        <w:spacing w:line="500" w:lineRule="exact"/>
        <w:ind w:firstLine="480" w:firstLineChars="200"/>
        <w:rPr>
          <w:rFonts w:ascii="宋体" w:hAnsi="宋体" w:cs="宋体"/>
          <w:sz w:val="24"/>
        </w:rPr>
      </w:pPr>
      <w:r>
        <w:rPr>
          <w:rFonts w:hint="eastAsia" w:ascii="宋体" w:hAnsi="宋体" w:cs="宋体"/>
          <w:sz w:val="24"/>
        </w:rPr>
        <w:t>7.1 在投标截止时间3天以前，招标人都可能以《招标文件补充》的方式修改招标文件。并将以书面形式通知所有购买招标文件的投标人，</w:t>
      </w:r>
    </w:p>
    <w:p>
      <w:pPr>
        <w:spacing w:line="500" w:lineRule="exact"/>
        <w:ind w:firstLine="480" w:firstLineChars="200"/>
        <w:rPr>
          <w:rFonts w:ascii="宋体" w:hAnsi="宋体" w:cs="宋体"/>
          <w:sz w:val="24"/>
        </w:rPr>
      </w:pPr>
      <w:r>
        <w:rPr>
          <w:rFonts w:hint="eastAsia" w:ascii="宋体" w:hAnsi="宋体" w:cs="宋体"/>
          <w:sz w:val="24"/>
        </w:rPr>
        <w:t>7.2 《招标文件补充》作为招标文件的组成部分，对投标人具有同等约束力。如果招标文件补充内容与在此招标文件补充发出之前的招标文件等书面材料中相关内容相冲突，请投标人执行招标文件补充的相关内容，先前发出的招标文件等书面材料中相关内容自动废止。</w:t>
      </w:r>
    </w:p>
    <w:p>
      <w:pPr>
        <w:spacing w:line="500" w:lineRule="exact"/>
        <w:ind w:firstLine="480" w:firstLineChars="200"/>
        <w:rPr>
          <w:rFonts w:ascii="宋体" w:hAnsi="宋体" w:cs="宋体"/>
          <w:sz w:val="24"/>
        </w:rPr>
      </w:pPr>
      <w:r>
        <w:rPr>
          <w:rFonts w:hint="eastAsia" w:ascii="宋体" w:hAnsi="宋体" w:cs="宋体"/>
          <w:sz w:val="24"/>
        </w:rPr>
        <w:t>7.3 为使投标人在编制投标文件时把《招标文件补充》内容考虑进去，招标人可以相应延长投标截止日期，具体时间将在《招标文件补充》中写明。</w:t>
      </w:r>
    </w:p>
    <w:p>
      <w:pPr>
        <w:spacing w:line="500" w:lineRule="exact"/>
        <w:ind w:left="120" w:hanging="120"/>
        <w:jc w:val="center"/>
        <w:rPr>
          <w:rFonts w:ascii="宋体" w:hAnsi="宋体" w:cs="宋体"/>
          <w:b/>
          <w:sz w:val="24"/>
        </w:rPr>
      </w:pPr>
    </w:p>
    <w:p>
      <w:pPr>
        <w:numPr>
          <w:ilvl w:val="0"/>
          <w:numId w:val="5"/>
        </w:numPr>
        <w:spacing w:line="500" w:lineRule="exact"/>
        <w:ind w:left="120" w:hanging="120"/>
        <w:jc w:val="center"/>
        <w:rPr>
          <w:rFonts w:ascii="宋体" w:hAnsi="宋体" w:cs="宋体"/>
          <w:b/>
          <w:sz w:val="24"/>
        </w:rPr>
      </w:pPr>
      <w:r>
        <w:rPr>
          <w:rFonts w:hint="eastAsia" w:ascii="宋体" w:hAnsi="宋体" w:cs="宋体"/>
          <w:b/>
          <w:sz w:val="24"/>
        </w:rPr>
        <w:t>投标文件的编制</w:t>
      </w:r>
    </w:p>
    <w:p>
      <w:pPr>
        <w:spacing w:line="500" w:lineRule="exact"/>
        <w:ind w:left="120" w:hanging="120"/>
        <w:rPr>
          <w:rFonts w:ascii="宋体" w:hAnsi="宋体" w:cs="宋体"/>
          <w:b/>
          <w:sz w:val="24"/>
        </w:rPr>
      </w:pPr>
    </w:p>
    <w:p>
      <w:pPr>
        <w:spacing w:line="500" w:lineRule="exact"/>
        <w:ind w:firstLine="482" w:firstLineChars="200"/>
        <w:rPr>
          <w:rFonts w:ascii="宋体" w:hAnsi="宋体" w:cs="宋体"/>
          <w:b/>
          <w:sz w:val="24"/>
        </w:rPr>
      </w:pPr>
      <w:r>
        <w:rPr>
          <w:rFonts w:hint="eastAsia" w:ascii="宋体" w:hAnsi="宋体" w:cs="宋体"/>
          <w:b/>
          <w:sz w:val="24"/>
        </w:rPr>
        <w:t>8、 投标文件的编写</w:t>
      </w:r>
    </w:p>
    <w:p>
      <w:pPr>
        <w:widowControl/>
        <w:spacing w:line="500" w:lineRule="exact"/>
        <w:ind w:left="120" w:hanging="120"/>
        <w:rPr>
          <w:rFonts w:ascii="宋体" w:hAnsi="宋体" w:cs="宋体"/>
          <w:b/>
          <w:color w:val="FF00FF"/>
          <w:sz w:val="24"/>
          <w:shd w:val="pct10" w:color="auto" w:fill="FFFFFF"/>
        </w:rPr>
      </w:pPr>
      <w:r>
        <w:rPr>
          <w:rFonts w:hint="eastAsia" w:ascii="宋体" w:hAnsi="宋体" w:cs="宋体"/>
          <w:sz w:val="24"/>
        </w:rPr>
        <w:t xml:space="preserve">    8.1 投标人应仔细阅读招标文件，了解招标文件的要求。在充分理解招标文件提出的技术要求、服务和商务条件后，编制投标文件。</w:t>
      </w:r>
    </w:p>
    <w:p>
      <w:pPr>
        <w:spacing w:line="500" w:lineRule="exact"/>
        <w:ind w:firstLine="482" w:firstLineChars="200"/>
        <w:rPr>
          <w:rFonts w:ascii="宋体" w:hAnsi="宋体" w:cs="宋体"/>
          <w:b/>
          <w:sz w:val="24"/>
        </w:rPr>
      </w:pPr>
      <w:r>
        <w:rPr>
          <w:rFonts w:hint="eastAsia" w:ascii="宋体" w:hAnsi="宋体" w:cs="宋体"/>
          <w:b/>
          <w:sz w:val="24"/>
        </w:rPr>
        <w:t>9、投标的语言</w:t>
      </w:r>
    </w:p>
    <w:p>
      <w:pPr>
        <w:spacing w:line="500" w:lineRule="exact"/>
        <w:ind w:left="120" w:hanging="120"/>
        <w:rPr>
          <w:rFonts w:ascii="宋体" w:hAnsi="宋体" w:cs="宋体"/>
          <w:sz w:val="24"/>
        </w:rPr>
      </w:pPr>
      <w:r>
        <w:rPr>
          <w:rFonts w:hint="eastAsia" w:ascii="宋体" w:hAnsi="宋体" w:cs="宋体"/>
          <w:sz w:val="24"/>
        </w:rPr>
        <w:t xml:space="preserve">    9.1 投标人的投标文件以及投标人与招标机构就有关招标活动的所有来往函电均应使用中文。如果投标文件或与投标有关的其它文件、信件及来往函电以其他语言书写，投标人应将其译成中文。</w:t>
      </w:r>
    </w:p>
    <w:p>
      <w:pPr>
        <w:spacing w:line="500" w:lineRule="exact"/>
        <w:ind w:left="120" w:hanging="120"/>
        <w:rPr>
          <w:rFonts w:ascii="宋体" w:hAnsi="宋体" w:cs="宋体"/>
          <w:sz w:val="24"/>
        </w:rPr>
      </w:pPr>
      <w:r>
        <w:rPr>
          <w:rFonts w:hint="eastAsia" w:ascii="宋体" w:hAnsi="宋体" w:cs="宋体"/>
          <w:sz w:val="24"/>
        </w:rPr>
        <w:t xml:space="preserve">    9.2投标文件中使用的计量单位除招标文件中有特殊规定外，一律使用法定计量单位。</w:t>
      </w:r>
    </w:p>
    <w:p>
      <w:pPr>
        <w:spacing w:line="500" w:lineRule="exact"/>
        <w:ind w:left="120" w:hanging="120"/>
        <w:rPr>
          <w:rFonts w:ascii="宋体" w:hAnsi="宋体" w:cs="宋体"/>
          <w:b/>
          <w:bCs/>
          <w:sz w:val="24"/>
        </w:rPr>
      </w:pPr>
      <w:r>
        <w:rPr>
          <w:rFonts w:hint="eastAsia" w:ascii="宋体" w:hAnsi="宋体" w:cs="宋体"/>
          <w:b/>
          <w:bCs/>
          <w:sz w:val="24"/>
        </w:rPr>
        <w:t xml:space="preserve">    10、投标文件的格式</w:t>
      </w:r>
    </w:p>
    <w:p>
      <w:pPr>
        <w:spacing w:line="500" w:lineRule="exact"/>
        <w:ind w:left="120" w:hanging="120"/>
        <w:rPr>
          <w:rFonts w:ascii="宋体" w:hAnsi="宋体" w:cs="宋体"/>
          <w:sz w:val="24"/>
        </w:rPr>
      </w:pPr>
      <w:r>
        <w:rPr>
          <w:rFonts w:hint="eastAsia" w:ascii="宋体" w:hAnsi="宋体" w:cs="宋体"/>
          <w:sz w:val="24"/>
        </w:rPr>
        <w:t xml:space="preserve">    10.1投标人应按招标文件提供的格式及投标报价说明完整地填写所提供的产品、服务、数量及价格。</w:t>
      </w:r>
    </w:p>
    <w:p>
      <w:pPr>
        <w:spacing w:line="500" w:lineRule="exact"/>
        <w:ind w:left="120" w:hanging="120"/>
        <w:rPr>
          <w:rFonts w:ascii="宋体" w:hAnsi="宋体" w:cs="宋体"/>
          <w:sz w:val="24"/>
        </w:rPr>
      </w:pPr>
      <w:r>
        <w:rPr>
          <w:rFonts w:hint="eastAsia" w:ascii="宋体" w:hAnsi="宋体" w:cs="宋体"/>
          <w:sz w:val="24"/>
        </w:rPr>
        <w:t xml:space="preserve">    10.2如投标人认为需要对招标文件的有关内容做详细的阐述而招标文件中提供的投标文件格式又不能满足，投标人可以在投标文件相关格式后另行添加表格或文字，对招标文件的有关内容做详细的阐述。但阐述的内容不能偏离招标文件的实质性内容，且应完整、表达清晰、准确。如果阐述的内容偏离了招标文件的实质性内容，投标文件按废标处理。</w:t>
      </w:r>
    </w:p>
    <w:p>
      <w:pPr>
        <w:spacing w:line="500" w:lineRule="exact"/>
        <w:ind w:left="120" w:hanging="120"/>
        <w:rPr>
          <w:rFonts w:ascii="宋体" w:hAnsi="宋体" w:cs="宋体"/>
          <w:b/>
          <w:color w:val="000000"/>
          <w:sz w:val="24"/>
        </w:rPr>
      </w:pPr>
      <w:r>
        <w:rPr>
          <w:rFonts w:hint="eastAsia" w:ascii="宋体" w:hAnsi="宋体" w:cs="宋体"/>
          <w:b/>
          <w:sz w:val="24"/>
        </w:rPr>
        <w:t xml:space="preserve">    11、投标文件的组成和顺序:投标文件由经济报价部分、商务部分、工作方案三部分组成，合装成一本标书（胶装）。</w:t>
      </w:r>
      <w:r>
        <w:rPr>
          <w:rFonts w:hint="eastAsia" w:ascii="宋体" w:hAnsi="宋体" w:cs="宋体"/>
          <w:b/>
          <w:color w:val="000000"/>
          <w:sz w:val="24"/>
        </w:rPr>
        <w:t>报价一览表需按招标文件提供的格式填写，统一规范，不得自行增减内容，并单独提供且与投标文件中提供的一致，并按招标文件要求密封。</w:t>
      </w:r>
    </w:p>
    <w:p>
      <w:pPr>
        <w:spacing w:line="500" w:lineRule="exact"/>
        <w:ind w:firstLine="480" w:firstLineChars="200"/>
        <w:rPr>
          <w:rFonts w:ascii="宋体" w:hAnsi="宋体" w:cs="宋体"/>
          <w:b/>
          <w:sz w:val="24"/>
        </w:rPr>
      </w:pPr>
      <w:r>
        <w:rPr>
          <w:rFonts w:hint="eastAsia" w:ascii="宋体" w:hAnsi="宋体" w:cs="宋体"/>
          <w:sz w:val="24"/>
        </w:rPr>
        <w:t>11.1</w:t>
      </w:r>
      <w:r>
        <w:rPr>
          <w:rFonts w:hint="eastAsia" w:ascii="宋体" w:hAnsi="宋体" w:cs="宋体"/>
          <w:b/>
          <w:sz w:val="24"/>
        </w:rPr>
        <w:t>经济报价部分：</w:t>
      </w:r>
    </w:p>
    <w:p>
      <w:pPr>
        <w:spacing w:line="500" w:lineRule="exact"/>
        <w:ind w:left="120" w:hanging="120"/>
        <w:rPr>
          <w:rFonts w:ascii="宋体" w:hAnsi="宋体" w:cs="宋体"/>
          <w:sz w:val="24"/>
        </w:rPr>
      </w:pPr>
      <w:r>
        <w:rPr>
          <w:rFonts w:hint="eastAsia" w:ascii="宋体" w:hAnsi="宋体" w:cs="宋体"/>
          <w:sz w:val="24"/>
        </w:rPr>
        <w:t xml:space="preserve">    11.1.1投标承诺书（一）、（二）；</w:t>
      </w:r>
    </w:p>
    <w:p>
      <w:pPr>
        <w:spacing w:line="500" w:lineRule="exact"/>
        <w:ind w:left="120" w:hanging="120"/>
        <w:rPr>
          <w:rFonts w:ascii="宋体" w:hAnsi="宋体" w:cs="宋体"/>
          <w:sz w:val="24"/>
        </w:rPr>
      </w:pPr>
      <w:r>
        <w:rPr>
          <w:rFonts w:hint="eastAsia" w:ascii="宋体" w:hAnsi="宋体" w:cs="宋体"/>
          <w:b/>
          <w:color w:val="FF0000"/>
          <w:sz w:val="24"/>
        </w:rPr>
        <w:t xml:space="preserve">   </w:t>
      </w:r>
      <w:r>
        <w:rPr>
          <w:rFonts w:hint="eastAsia" w:ascii="宋体" w:hAnsi="宋体" w:cs="宋体"/>
          <w:sz w:val="24"/>
        </w:rPr>
        <w:t xml:space="preserve"> 11.1.2报价一览表；</w:t>
      </w:r>
    </w:p>
    <w:p>
      <w:pPr>
        <w:spacing w:line="500" w:lineRule="exact"/>
        <w:ind w:firstLine="236" w:firstLineChars="98"/>
        <w:rPr>
          <w:rFonts w:ascii="宋体" w:hAnsi="宋体" w:cs="宋体"/>
          <w:b/>
          <w:sz w:val="24"/>
        </w:rPr>
      </w:pPr>
      <w:r>
        <w:rPr>
          <w:rFonts w:hint="eastAsia" w:ascii="宋体" w:hAnsi="宋体" w:cs="宋体"/>
          <w:b/>
          <w:sz w:val="24"/>
        </w:rPr>
        <w:t xml:space="preserve">  11.2商务部分：</w:t>
      </w:r>
    </w:p>
    <w:p>
      <w:pPr>
        <w:spacing w:line="480" w:lineRule="exact"/>
        <w:ind w:left="120" w:hanging="120"/>
        <w:rPr>
          <w:rFonts w:ascii="宋体" w:hAnsi="宋体" w:cs="宋体"/>
          <w:color w:val="000000"/>
          <w:sz w:val="24"/>
        </w:rPr>
      </w:pPr>
      <w:r>
        <w:rPr>
          <w:rFonts w:hint="eastAsia" w:ascii="宋体" w:hAnsi="宋体" w:cs="宋体"/>
          <w:b/>
          <w:sz w:val="24"/>
        </w:rPr>
        <w:t xml:space="preserve">    </w:t>
      </w:r>
      <w:r>
        <w:rPr>
          <w:rFonts w:hint="eastAsia" w:ascii="宋体" w:hAnsi="宋体" w:cs="宋体"/>
          <w:color w:val="000000"/>
          <w:sz w:val="24"/>
        </w:rPr>
        <w:t>11.2.1投标方的资格声明（格式见附件）；</w:t>
      </w:r>
    </w:p>
    <w:p>
      <w:pPr>
        <w:spacing w:line="480" w:lineRule="exact"/>
        <w:ind w:firstLine="480" w:firstLineChars="200"/>
        <w:rPr>
          <w:rFonts w:ascii="宋体" w:hAnsi="宋体" w:cs="宋体"/>
          <w:sz w:val="24"/>
        </w:rPr>
      </w:pPr>
      <w:r>
        <w:rPr>
          <w:rFonts w:hint="eastAsia" w:ascii="宋体" w:hAnsi="宋体" w:cs="宋体"/>
          <w:color w:val="000000"/>
          <w:sz w:val="24"/>
        </w:rPr>
        <w:t>11.2.2 投标单位基本情况表（格式见附件）</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11.2.3出具法人营业执照函（格式见附件）；</w:t>
      </w:r>
    </w:p>
    <w:p>
      <w:pPr>
        <w:spacing w:line="480" w:lineRule="exact"/>
        <w:ind w:firstLine="480" w:firstLineChars="200"/>
        <w:rPr>
          <w:rFonts w:ascii="宋体" w:hAnsi="宋体" w:cs="宋体"/>
          <w:sz w:val="24"/>
        </w:rPr>
      </w:pPr>
      <w:r>
        <w:rPr>
          <w:rFonts w:hint="eastAsia" w:ascii="宋体" w:hAnsi="宋体" w:cs="宋体"/>
          <w:sz w:val="24"/>
        </w:rPr>
        <w:t>11.2.4法定代表人证明书（格式见附件）；</w:t>
      </w:r>
    </w:p>
    <w:p>
      <w:pPr>
        <w:spacing w:line="480" w:lineRule="exact"/>
        <w:ind w:left="120" w:hanging="120"/>
        <w:rPr>
          <w:rFonts w:ascii="宋体" w:hAnsi="宋体" w:cs="宋体"/>
          <w:sz w:val="24"/>
        </w:rPr>
      </w:pPr>
      <w:r>
        <w:rPr>
          <w:rFonts w:hint="eastAsia" w:ascii="宋体" w:hAnsi="宋体" w:cs="宋体"/>
          <w:sz w:val="24"/>
        </w:rPr>
        <w:t xml:space="preserve">    11.2.5法定代表人授权委托书及投标人被授权人身份证复印件</w:t>
      </w:r>
      <w:r>
        <w:rPr>
          <w:rFonts w:hint="eastAsia" w:ascii="宋体" w:hAnsi="宋体" w:cs="宋体"/>
          <w:sz w:val="24"/>
          <w:lang w:eastAsia="zh-CN"/>
        </w:rPr>
        <w:t>，被授权委托人在本单位缴纳的近</w:t>
      </w:r>
      <w:r>
        <w:rPr>
          <w:rFonts w:hint="eastAsia" w:ascii="宋体" w:hAnsi="宋体" w:cs="宋体"/>
          <w:sz w:val="24"/>
          <w:lang w:val="en-US" w:eastAsia="zh-CN"/>
        </w:rPr>
        <w:t>六</w:t>
      </w:r>
      <w:r>
        <w:rPr>
          <w:rFonts w:hint="eastAsia" w:ascii="宋体" w:hAnsi="宋体" w:cs="宋体"/>
          <w:sz w:val="24"/>
          <w:lang w:eastAsia="zh-CN"/>
        </w:rPr>
        <w:t>个月内社保证明（社保缴费凭证原件和个人明细表）</w:t>
      </w:r>
      <w:r>
        <w:rPr>
          <w:rFonts w:hint="eastAsia" w:ascii="宋体" w:hAnsi="宋体" w:cs="宋体"/>
          <w:sz w:val="24"/>
        </w:rPr>
        <w:t>（如有授权，法人参加提供身份证原件及复印件）（格式见附件）；</w:t>
      </w:r>
    </w:p>
    <w:p>
      <w:pPr>
        <w:widowControl/>
        <w:spacing w:line="480" w:lineRule="exact"/>
        <w:ind w:firstLine="480" w:firstLineChars="200"/>
        <w:rPr>
          <w:rFonts w:ascii="宋体" w:hAnsi="宋体" w:cs="宋体"/>
          <w:sz w:val="24"/>
        </w:rPr>
      </w:pPr>
      <w:r>
        <w:rPr>
          <w:rFonts w:hint="eastAsia" w:ascii="宋体" w:hAnsi="宋体" w:cs="宋体"/>
          <w:sz w:val="24"/>
        </w:rPr>
        <w:t>11.2.6近三年企业类似业绩表及证明（提供合同）（格式见附件）；</w:t>
      </w:r>
    </w:p>
    <w:p>
      <w:pPr>
        <w:spacing w:line="480" w:lineRule="exact"/>
        <w:ind w:left="120" w:hanging="120"/>
        <w:rPr>
          <w:rFonts w:ascii="宋体" w:hAnsi="宋体" w:cs="宋体"/>
          <w:sz w:val="24"/>
        </w:rPr>
      </w:pPr>
      <w:r>
        <w:rPr>
          <w:rFonts w:hint="eastAsia" w:ascii="宋体" w:hAnsi="宋体" w:cs="宋体"/>
          <w:sz w:val="24"/>
        </w:rPr>
        <w:t xml:space="preserve">    11.2.7项目负责人简历及业绩表（格式见附件）</w:t>
      </w:r>
    </w:p>
    <w:p>
      <w:pPr>
        <w:spacing w:line="480" w:lineRule="exact"/>
        <w:ind w:left="120" w:hanging="120"/>
        <w:rPr>
          <w:rFonts w:ascii="宋体" w:hAnsi="宋体" w:cs="宋体"/>
          <w:sz w:val="24"/>
        </w:rPr>
      </w:pPr>
      <w:r>
        <w:rPr>
          <w:rFonts w:hint="eastAsia" w:ascii="宋体" w:hAnsi="宋体" w:cs="宋体"/>
          <w:sz w:val="24"/>
        </w:rPr>
        <w:t xml:space="preserve">    11.2.8拟投入本项目人员情况及业绩表（格式见附件）；</w:t>
      </w:r>
    </w:p>
    <w:p>
      <w:pPr>
        <w:spacing w:line="480" w:lineRule="exact"/>
        <w:ind w:firstLine="480" w:firstLineChars="200"/>
        <w:rPr>
          <w:rFonts w:ascii="宋体" w:hAnsi="宋体" w:cs="宋体"/>
          <w:sz w:val="24"/>
        </w:rPr>
      </w:pPr>
      <w:r>
        <w:rPr>
          <w:rFonts w:hint="eastAsia" w:ascii="宋体" w:hAnsi="宋体" w:cs="宋体"/>
          <w:sz w:val="24"/>
        </w:rPr>
        <w:t>11.2.9商务偏离表（格式见附件）；</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11.2.10供应商反商业贿赂承诺书（格式见附件）；</w:t>
      </w:r>
    </w:p>
    <w:p>
      <w:pPr>
        <w:spacing w:line="480" w:lineRule="exact"/>
        <w:ind w:firstLine="480" w:firstLineChars="200"/>
        <w:rPr>
          <w:rFonts w:hint="eastAsia" w:ascii="宋体" w:hAnsi="宋体" w:cs="宋体"/>
          <w:color w:val="000000"/>
          <w:sz w:val="24"/>
        </w:rPr>
      </w:pPr>
      <w:r>
        <w:rPr>
          <w:rFonts w:hint="eastAsia" w:ascii="宋体" w:hAnsi="宋体" w:cs="宋体"/>
          <w:color w:val="000000"/>
          <w:sz w:val="24"/>
        </w:rPr>
        <w:t>11.2.11服务承诺书</w:t>
      </w:r>
    </w:p>
    <w:p>
      <w:pPr>
        <w:pStyle w:val="2"/>
        <w:ind w:firstLine="480" w:firstLineChars="200"/>
      </w:pPr>
      <w:r>
        <w:rPr>
          <w:rFonts w:hint="eastAsia" w:ascii="宋体" w:hAnsi="宋体" w:eastAsia="宋体" w:cs="宋体"/>
          <w:color w:val="000000"/>
          <w:kern w:val="2"/>
          <w:sz w:val="24"/>
          <w:szCs w:val="24"/>
          <w:lang w:val="en-US" w:eastAsia="zh-CN" w:bidi="ar-SA"/>
        </w:rPr>
        <w:t>11.</w:t>
      </w:r>
      <w:r>
        <w:rPr>
          <w:rFonts w:hint="eastAsia" w:ascii="宋体" w:hAnsi="宋体" w:cs="宋体"/>
          <w:color w:val="000000"/>
          <w:sz w:val="24"/>
        </w:rPr>
        <w:t>2.1</w:t>
      </w:r>
      <w:r>
        <w:rPr>
          <w:rFonts w:hint="eastAsia" w:ascii="宋体" w:hAnsi="宋体" w:cs="宋体"/>
          <w:color w:val="000000"/>
          <w:sz w:val="24"/>
          <w:lang w:val="en-US" w:eastAsia="zh-CN"/>
        </w:rPr>
        <w:t>2</w:t>
      </w:r>
      <w:r>
        <w:rPr>
          <w:rFonts w:hint="eastAsia" w:ascii="宋体" w:hAnsi="宋体" w:eastAsia="宋体" w:cs="宋体"/>
          <w:color w:val="000000"/>
          <w:kern w:val="2"/>
          <w:sz w:val="24"/>
          <w:szCs w:val="24"/>
          <w:lang w:val="en-US" w:eastAsia="zh-CN" w:bidi="ar-SA"/>
        </w:rPr>
        <w:t>中小企业声明函（符合本声明函填写）</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3</w:t>
      </w:r>
      <w:r>
        <w:rPr>
          <w:rFonts w:hint="eastAsia" w:ascii="宋体" w:hAnsi="宋体" w:cs="宋体"/>
          <w:color w:val="000000"/>
          <w:sz w:val="24"/>
        </w:rPr>
        <w:t>通过国家或国际认证资格证书（如有，提供复印件）；</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4</w:t>
      </w:r>
      <w:r>
        <w:rPr>
          <w:rFonts w:hint="eastAsia" w:ascii="宋体" w:hAnsi="宋体" w:cs="宋体"/>
          <w:color w:val="000000"/>
          <w:sz w:val="24"/>
        </w:rPr>
        <w:t>投标保证金转账凭证；</w:t>
      </w:r>
    </w:p>
    <w:p>
      <w:pPr>
        <w:spacing w:line="480" w:lineRule="exact"/>
        <w:ind w:firstLine="480" w:firstLineChars="200"/>
        <w:rPr>
          <w:rFonts w:hint="eastAsia" w:ascii="宋体" w:hAnsi="宋体" w:cs="宋体"/>
          <w:color w:val="000000"/>
          <w:sz w:val="24"/>
          <w:lang w:val="en-US" w:eastAsia="zh-CN"/>
        </w:rPr>
      </w:pPr>
      <w:r>
        <w:rPr>
          <w:rFonts w:hint="eastAsia" w:ascii="宋体" w:hAnsi="宋体" w:cs="宋体"/>
          <w:color w:val="000000"/>
          <w:sz w:val="24"/>
        </w:rPr>
        <w:t>11.2.1</w:t>
      </w:r>
      <w:r>
        <w:rPr>
          <w:rFonts w:hint="eastAsia" w:ascii="宋体" w:hAnsi="宋体" w:cs="宋体"/>
          <w:color w:val="000000"/>
          <w:sz w:val="24"/>
          <w:lang w:val="en-US" w:eastAsia="zh-CN"/>
        </w:rPr>
        <w:t>5具有良好的商业信誉和健全的财务会计制度（提供2019年度财务审计报告）；</w:t>
      </w:r>
    </w:p>
    <w:p>
      <w:pPr>
        <w:spacing w:line="480" w:lineRule="exact"/>
        <w:ind w:firstLine="480" w:firstLineChars="200"/>
        <w:rPr>
          <w:rFonts w:ascii="宋体" w:hAnsi="宋体" w:cs="宋体"/>
          <w:color w:val="000000"/>
          <w:sz w:val="24"/>
        </w:rPr>
      </w:pPr>
      <w:r>
        <w:rPr>
          <w:rFonts w:hint="eastAsia" w:ascii="宋体" w:hAnsi="宋体" w:cs="宋体"/>
          <w:color w:val="000000"/>
          <w:sz w:val="24"/>
        </w:rPr>
        <w:t>11.2.1</w:t>
      </w:r>
      <w:r>
        <w:rPr>
          <w:rFonts w:hint="eastAsia" w:ascii="宋体" w:hAnsi="宋体" w:cs="宋体"/>
          <w:color w:val="000000"/>
          <w:sz w:val="24"/>
          <w:lang w:val="en-US" w:eastAsia="zh-CN"/>
        </w:rPr>
        <w:t>6</w:t>
      </w:r>
      <w:r>
        <w:rPr>
          <w:rFonts w:hint="eastAsia" w:ascii="宋体" w:hAnsi="宋体" w:cs="宋体"/>
          <w:color w:val="000000"/>
          <w:sz w:val="24"/>
        </w:rPr>
        <w:t>投标人认为有必要提供的声明及文件资料。</w:t>
      </w:r>
    </w:p>
    <w:p>
      <w:pPr>
        <w:spacing w:line="480" w:lineRule="exact"/>
        <w:ind w:left="120" w:hanging="120"/>
        <w:rPr>
          <w:rFonts w:ascii="宋体" w:hAnsi="宋体" w:cs="宋体"/>
          <w:color w:val="0000FF"/>
          <w:sz w:val="24"/>
        </w:rPr>
      </w:pPr>
      <w:r>
        <w:rPr>
          <w:rFonts w:hint="eastAsia" w:ascii="宋体" w:hAnsi="宋体" w:cs="宋体"/>
          <w:b/>
          <w:bCs/>
          <w:sz w:val="24"/>
        </w:rPr>
        <w:t xml:space="preserve">    第三部分：项目实施方案（具体详见投标文件格式要求）</w:t>
      </w:r>
    </w:p>
    <w:p>
      <w:pPr>
        <w:spacing w:line="480" w:lineRule="exact"/>
        <w:ind w:firstLine="482" w:firstLineChars="200"/>
        <w:rPr>
          <w:rFonts w:ascii="宋体" w:hAnsi="宋体" w:cs="宋体"/>
          <w:b/>
          <w:bCs/>
          <w:color w:val="000000"/>
          <w:sz w:val="24"/>
        </w:rPr>
      </w:pPr>
      <w:r>
        <w:rPr>
          <w:rFonts w:hint="eastAsia" w:ascii="宋体" w:hAnsi="宋体" w:cs="宋体"/>
          <w:b/>
          <w:bCs/>
          <w:color w:val="000000"/>
          <w:sz w:val="24"/>
        </w:rPr>
        <w:t>注：投标文件按统一格式、顺序编写。</w:t>
      </w:r>
    </w:p>
    <w:p>
      <w:pPr>
        <w:numPr>
          <w:ilvl w:val="0"/>
          <w:numId w:val="6"/>
        </w:numPr>
        <w:spacing w:line="500" w:lineRule="exact"/>
        <w:ind w:firstLine="482" w:firstLineChars="200"/>
        <w:rPr>
          <w:rFonts w:ascii="宋体" w:hAnsi="宋体" w:cs="宋体"/>
          <w:b/>
          <w:sz w:val="24"/>
        </w:rPr>
      </w:pPr>
      <w:r>
        <w:rPr>
          <w:rFonts w:hint="eastAsia" w:ascii="宋体" w:hAnsi="宋体" w:cs="宋体"/>
          <w:b/>
          <w:sz w:val="24"/>
        </w:rPr>
        <w:t>投标报价：</w:t>
      </w:r>
      <w:bookmarkStart w:id="13" w:name="OLE_LINK1"/>
    </w:p>
    <w:p>
      <w:pPr>
        <w:spacing w:line="500" w:lineRule="exact"/>
        <w:ind w:left="120" w:hanging="120"/>
        <w:rPr>
          <w:rFonts w:ascii="宋体" w:hAnsi="宋体" w:cs="宋体"/>
          <w:sz w:val="24"/>
        </w:rPr>
      </w:pPr>
      <w:r>
        <w:rPr>
          <w:rFonts w:hint="eastAsia" w:ascii="宋体" w:hAnsi="宋体" w:cs="宋体"/>
          <w:sz w:val="24"/>
        </w:rPr>
        <w:t xml:space="preserve">    12.1投标人应按招标文件的要求填写相应投标报价表格。如小写与大写不符的，以大写为准。投标人应在投标报价表中标明其提供的所有服务及其相关工作范围内所在费用的总价。</w:t>
      </w:r>
    </w:p>
    <w:p>
      <w:pPr>
        <w:spacing w:line="500" w:lineRule="exact"/>
        <w:ind w:left="120" w:hanging="120"/>
        <w:rPr>
          <w:rFonts w:ascii="宋体" w:hAnsi="宋体" w:cs="宋体"/>
          <w:sz w:val="24"/>
        </w:rPr>
      </w:pPr>
      <w:r>
        <w:rPr>
          <w:rFonts w:hint="eastAsia" w:ascii="宋体" w:hAnsi="宋体" w:cs="宋体"/>
          <w:sz w:val="24"/>
        </w:rPr>
        <w:t xml:space="preserve">    12.2 除非合同中另有规定，投标人对《投标报价表》中的全部服务的报价应包括所投本项目工作所发生的全部费用以及投标人企业利润、税金和政策性文件规定及合同包含的所有风险、责任等各项应有费用。投标报价为最终报价，除非因特殊原因并经买卖双方及相关监督部门协商同意，投标人不得再要求追加任何费用。同时，除非合同条款中另有规定，否则，投标单位所报价格在合同实施期间不因市场变化因素而变动。</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12.3  投标人应对招标文件内所要采购的全部内容进行报价，只投其中部分内容者，其投标书将被拒绝。但如果招标文件要求分标段投标的，则投标人可以根据自己经营许可内容有选择地只投其中一个或几个或全部标段，但各标段应分别计算填写单价和总价。</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12.4 一项投标内容只允许一个报价，招标人不接受任何有选择性的投标报价。</w:t>
      </w:r>
    </w:p>
    <w:p>
      <w:pPr>
        <w:pStyle w:val="20"/>
        <w:overflowPunct w:val="0"/>
        <w:spacing w:line="500" w:lineRule="exact"/>
        <w:ind w:firstLine="480"/>
        <w:rPr>
          <w:rFonts w:ascii="宋体" w:hAnsi="宋体" w:cs="宋体"/>
          <w:szCs w:val="24"/>
        </w:rPr>
      </w:pPr>
      <w:r>
        <w:rPr>
          <w:rFonts w:hint="eastAsia" w:ascii="宋体" w:hAnsi="宋体" w:cs="宋体"/>
          <w:szCs w:val="24"/>
        </w:rPr>
        <w:t xml:space="preserve"> 12.</w:t>
      </w:r>
      <w:r>
        <w:rPr>
          <w:rFonts w:hint="eastAsia" w:ascii="宋体" w:hAnsi="宋体" w:cs="宋体"/>
          <w:color w:val="000000"/>
          <w:szCs w:val="24"/>
        </w:rPr>
        <w:t>5</w:t>
      </w:r>
      <w:r>
        <w:rPr>
          <w:rFonts w:hint="eastAsia" w:ascii="宋体" w:hAnsi="宋体" w:cs="宋体"/>
          <w:b/>
          <w:bCs/>
          <w:color w:val="000000"/>
          <w:szCs w:val="24"/>
        </w:rPr>
        <w:t>投标报价作为此次评标的评定因素之一，同时也是中标后在本次项目中的收费标准，不得进行更改收费标准。</w:t>
      </w:r>
    </w:p>
    <w:bookmarkEnd w:id="13"/>
    <w:p>
      <w:pPr>
        <w:spacing w:line="500" w:lineRule="exact"/>
        <w:ind w:left="120" w:hanging="120"/>
        <w:rPr>
          <w:rFonts w:ascii="宋体" w:hAnsi="宋体" w:cs="宋体"/>
          <w:b/>
          <w:sz w:val="24"/>
        </w:rPr>
      </w:pPr>
      <w:r>
        <w:rPr>
          <w:rFonts w:hint="eastAsia" w:ascii="宋体" w:hAnsi="宋体" w:cs="宋体"/>
          <w:b/>
          <w:sz w:val="24"/>
        </w:rPr>
        <w:t xml:space="preserve">    13、投标人应逐条详细阅读招标文件有关要求，表明所提供的服务是否对招标文件做出实质性响应。</w:t>
      </w:r>
    </w:p>
    <w:p>
      <w:pPr>
        <w:spacing w:line="500" w:lineRule="exact"/>
        <w:ind w:firstLine="482" w:firstLineChars="200"/>
        <w:rPr>
          <w:rFonts w:ascii="宋体" w:hAnsi="宋体" w:cs="宋体"/>
          <w:b/>
          <w:sz w:val="24"/>
        </w:rPr>
      </w:pPr>
      <w:r>
        <w:rPr>
          <w:rFonts w:hint="eastAsia" w:ascii="宋体" w:hAnsi="宋体" w:cs="宋体"/>
          <w:b/>
          <w:sz w:val="24"/>
        </w:rPr>
        <w:t>14、投标文件的有效期</w:t>
      </w:r>
    </w:p>
    <w:p>
      <w:pPr>
        <w:spacing w:line="500" w:lineRule="exact"/>
        <w:ind w:firstLine="480" w:firstLineChars="200"/>
        <w:rPr>
          <w:rFonts w:ascii="宋体" w:hAnsi="宋体" w:cs="宋体"/>
          <w:sz w:val="24"/>
        </w:rPr>
      </w:pPr>
      <w:r>
        <w:rPr>
          <w:rFonts w:hint="eastAsia" w:ascii="宋体" w:hAnsi="宋体" w:cs="宋体"/>
          <w:sz w:val="24"/>
        </w:rPr>
        <w:t>14.1 投标文件从实际开标之日</w:t>
      </w:r>
      <w:r>
        <w:rPr>
          <w:rFonts w:hint="eastAsia" w:ascii="宋体" w:hAnsi="宋体" w:eastAsia="宋体" w:cs="宋体"/>
          <w:sz w:val="24"/>
        </w:rPr>
        <w:t>起</w:t>
      </w:r>
      <w:r>
        <w:rPr>
          <w:rFonts w:hint="eastAsia" w:ascii="宋体" w:hAnsi="宋体" w:eastAsia="宋体" w:cs="宋体"/>
          <w:color w:val="0000FF"/>
          <w:sz w:val="24"/>
          <w:u w:val="single"/>
          <w:lang w:val="en-US" w:eastAsia="zh-CN"/>
        </w:rPr>
        <w:t>60</w:t>
      </w:r>
      <w:r>
        <w:rPr>
          <w:rFonts w:hint="eastAsia" w:ascii="宋体" w:hAnsi="宋体" w:eastAsia="宋体" w:cs="宋体"/>
          <w:sz w:val="24"/>
        </w:rPr>
        <w:t>天内有效</w:t>
      </w:r>
      <w:r>
        <w:rPr>
          <w:rFonts w:hint="eastAsia" w:ascii="宋体" w:hAnsi="宋体" w:cs="宋体"/>
          <w:sz w:val="24"/>
        </w:rPr>
        <w:t>。</w:t>
      </w:r>
    </w:p>
    <w:p>
      <w:pPr>
        <w:spacing w:line="500" w:lineRule="exact"/>
        <w:ind w:firstLine="480" w:firstLineChars="200"/>
        <w:rPr>
          <w:rFonts w:ascii="宋体" w:hAnsi="宋体" w:cs="宋体"/>
          <w:sz w:val="24"/>
        </w:rPr>
      </w:pPr>
      <w:r>
        <w:rPr>
          <w:rFonts w:hint="eastAsia" w:ascii="宋体" w:hAnsi="宋体" w:cs="宋体"/>
          <w:sz w:val="24"/>
        </w:rPr>
        <w:t>14.2 如遇特殊情况，在原投标有效期届满之前，招标人可与投标人协商延长投标文件的有效期，并经投标人确认。</w:t>
      </w:r>
    </w:p>
    <w:p>
      <w:pPr>
        <w:spacing w:line="500" w:lineRule="exact"/>
        <w:ind w:firstLine="482" w:firstLineChars="200"/>
        <w:rPr>
          <w:rFonts w:ascii="宋体" w:hAnsi="宋体" w:cs="宋体"/>
          <w:b/>
          <w:sz w:val="24"/>
        </w:rPr>
      </w:pPr>
      <w:r>
        <w:rPr>
          <w:rFonts w:hint="eastAsia" w:ascii="宋体" w:hAnsi="宋体" w:cs="宋体"/>
          <w:b/>
          <w:sz w:val="24"/>
        </w:rPr>
        <w:t>15、投标文件的份数、签署、字体、装订</w:t>
      </w:r>
    </w:p>
    <w:p>
      <w:pPr>
        <w:spacing w:line="500" w:lineRule="exact"/>
        <w:ind w:left="239" w:leftChars="114" w:firstLine="361" w:firstLineChars="150"/>
        <w:rPr>
          <w:rFonts w:hint="eastAsia" w:ascii="宋体" w:hAnsi="宋体" w:cs="宋体"/>
          <w:b/>
          <w:sz w:val="24"/>
        </w:rPr>
      </w:pPr>
      <w:r>
        <w:rPr>
          <w:rFonts w:hint="eastAsia" w:ascii="宋体" w:hAnsi="宋体" w:cs="宋体"/>
          <w:b/>
          <w:sz w:val="24"/>
        </w:rPr>
        <w:t>15.1 投标人必须按“投标人须知前附表”中规定的“正本”和“副本”份数，投标文件正本和副本如有不一致之处，以正本为准。参考资料数量不限。</w:t>
      </w:r>
    </w:p>
    <w:p>
      <w:pPr>
        <w:spacing w:line="500" w:lineRule="exact"/>
        <w:ind w:left="239" w:leftChars="114" w:firstLine="361" w:firstLineChars="150"/>
        <w:rPr>
          <w:rFonts w:hint="eastAsia" w:ascii="宋体" w:hAnsi="宋体" w:cs="宋体"/>
          <w:b/>
          <w:sz w:val="24"/>
        </w:rPr>
      </w:pPr>
      <w:r>
        <w:rPr>
          <w:rFonts w:hint="eastAsia" w:ascii="宋体" w:hAnsi="宋体" w:cs="宋体"/>
          <w:b/>
          <w:sz w:val="24"/>
        </w:rPr>
        <w:t>15.2投标文件正本与副本须用不褪色的墨水笔书写或打印。投标文件的书写应清楚工整，修改处应由投标人全权代表签章。</w:t>
      </w:r>
    </w:p>
    <w:p>
      <w:pPr>
        <w:spacing w:line="500" w:lineRule="exact"/>
        <w:rPr>
          <w:rFonts w:hint="eastAsia" w:ascii="宋体" w:hAnsi="宋体" w:cs="宋体"/>
          <w:b/>
          <w:sz w:val="24"/>
        </w:rPr>
      </w:pPr>
      <w:r>
        <w:rPr>
          <w:rFonts w:hint="eastAsia" w:ascii="宋体" w:hAnsi="宋体" w:cs="宋体"/>
          <w:b/>
          <w:sz w:val="24"/>
        </w:rPr>
        <w:t xml:space="preserve"> </w:t>
      </w:r>
      <w:r>
        <w:rPr>
          <w:rFonts w:hint="eastAsia" w:ascii="宋体" w:hAnsi="宋体" w:cs="宋体"/>
          <w:b/>
          <w:sz w:val="24"/>
          <w:lang w:val="en-US" w:eastAsia="zh-CN"/>
        </w:rPr>
        <w:t xml:space="preserve">    </w:t>
      </w:r>
      <w:r>
        <w:rPr>
          <w:rFonts w:hint="eastAsia" w:ascii="宋体" w:hAnsi="宋体" w:cs="宋体"/>
          <w:b/>
          <w:sz w:val="24"/>
        </w:rPr>
        <w:t>15.3 投标文件应由企业法人或法人授权代表在凡规定签章处逐一签署及加盖单位公章。</w:t>
      </w:r>
    </w:p>
    <w:p>
      <w:pPr>
        <w:spacing w:line="500" w:lineRule="exact"/>
        <w:ind w:firstLine="482" w:firstLineChars="200"/>
        <w:rPr>
          <w:rFonts w:hint="eastAsia" w:ascii="宋体" w:hAnsi="宋体" w:cs="宋体"/>
          <w:b/>
          <w:sz w:val="24"/>
        </w:rPr>
      </w:pPr>
      <w:r>
        <w:rPr>
          <w:rFonts w:hint="eastAsia" w:ascii="宋体" w:hAnsi="宋体" w:cs="宋体"/>
          <w:b/>
          <w:sz w:val="24"/>
        </w:rPr>
        <w:t>15.4投标文件字体一律采用四号宋体字。</w:t>
      </w:r>
    </w:p>
    <w:p>
      <w:pPr>
        <w:spacing w:line="500" w:lineRule="exact"/>
        <w:ind w:firstLine="482" w:firstLineChars="200"/>
        <w:rPr>
          <w:rFonts w:hint="eastAsia" w:ascii="宋体" w:hAnsi="宋体" w:cs="宋体"/>
          <w:b/>
          <w:sz w:val="24"/>
        </w:rPr>
      </w:pPr>
      <w:r>
        <w:rPr>
          <w:rFonts w:hint="eastAsia" w:ascii="宋体" w:hAnsi="宋体" w:cs="宋体"/>
          <w:b/>
          <w:sz w:val="24"/>
        </w:rPr>
        <w:t>15.5投标文件一律采用胶装方式进行装订。</w:t>
      </w:r>
    </w:p>
    <w:p>
      <w:pPr>
        <w:spacing w:line="500" w:lineRule="exact"/>
        <w:ind w:firstLine="482" w:firstLineChars="200"/>
        <w:rPr>
          <w:rFonts w:ascii="宋体" w:hAnsi="宋体" w:cs="宋体"/>
          <w:b/>
          <w:sz w:val="24"/>
        </w:rPr>
      </w:pPr>
      <w:r>
        <w:rPr>
          <w:rFonts w:hint="eastAsia" w:ascii="宋体" w:hAnsi="宋体" w:cs="宋体"/>
          <w:b/>
          <w:sz w:val="24"/>
        </w:rPr>
        <w:t>16、投标保证金</w:t>
      </w:r>
    </w:p>
    <w:p>
      <w:pPr>
        <w:spacing w:line="500" w:lineRule="exact"/>
        <w:ind w:firstLine="480" w:firstLineChars="200"/>
        <w:rPr>
          <w:rFonts w:ascii="宋体" w:hAnsi="宋体" w:cs="宋体"/>
          <w:sz w:val="24"/>
        </w:rPr>
      </w:pPr>
      <w:r>
        <w:rPr>
          <w:rFonts w:hint="eastAsia" w:ascii="宋体" w:hAnsi="宋体" w:cs="宋体"/>
          <w:sz w:val="24"/>
        </w:rPr>
        <w:t>16.1 投标保证金数额</w:t>
      </w:r>
      <w:r>
        <w:rPr>
          <w:rFonts w:hint="eastAsia" w:ascii="宋体" w:hAnsi="宋体" w:cs="宋体"/>
          <w:b/>
          <w:sz w:val="24"/>
          <w:u w:val="single"/>
        </w:rPr>
        <w:t>详见投标人须知前附表第3条</w:t>
      </w:r>
      <w:r>
        <w:rPr>
          <w:rFonts w:hint="eastAsia" w:ascii="宋体" w:hAnsi="宋体" w:cs="宋体"/>
          <w:sz w:val="24"/>
        </w:rPr>
        <w:t>。</w:t>
      </w:r>
    </w:p>
    <w:p>
      <w:pPr>
        <w:spacing w:line="500" w:lineRule="exact"/>
        <w:ind w:firstLine="480" w:firstLineChars="200"/>
        <w:rPr>
          <w:rFonts w:ascii="宋体" w:hAnsi="宋体" w:cs="宋体"/>
          <w:sz w:val="24"/>
        </w:rPr>
      </w:pPr>
      <w:r>
        <w:rPr>
          <w:rFonts w:hint="eastAsia" w:ascii="宋体" w:hAnsi="宋体" w:cs="宋体"/>
          <w:sz w:val="24"/>
        </w:rPr>
        <w:t>16.2 投标保证金用于应对本次招标因投标人违规、违约而产生的风险。</w:t>
      </w:r>
    </w:p>
    <w:p>
      <w:pPr>
        <w:spacing w:line="500" w:lineRule="exact"/>
        <w:ind w:firstLine="480" w:firstLineChars="200"/>
        <w:rPr>
          <w:rFonts w:ascii="宋体" w:hAnsi="宋体" w:cs="宋体"/>
          <w:sz w:val="24"/>
        </w:rPr>
      </w:pPr>
      <w:r>
        <w:rPr>
          <w:rFonts w:hint="eastAsia" w:ascii="宋体" w:hAnsi="宋体" w:cs="宋体"/>
          <w:sz w:val="24"/>
        </w:rPr>
        <w:t>16.3 投标人必须于投标截止时间之前（</w:t>
      </w:r>
      <w:r>
        <w:rPr>
          <w:rFonts w:hint="eastAsia" w:ascii="宋体" w:hAnsi="宋体" w:cs="宋体"/>
          <w:b/>
          <w:sz w:val="24"/>
          <w:u w:val="single"/>
        </w:rPr>
        <w:t>详见投标人须知前附表第3条规定）</w:t>
      </w:r>
      <w:r>
        <w:rPr>
          <w:rFonts w:hint="eastAsia" w:ascii="宋体" w:hAnsi="宋体" w:cs="宋体"/>
          <w:sz w:val="24"/>
        </w:rPr>
        <w:t>按将投标保证金交纳至规定的帐号，对未按要求提交投标保证金的投标书，招标机构将视为不响应投标予以拒绝。</w:t>
      </w:r>
    </w:p>
    <w:p>
      <w:pPr>
        <w:spacing w:line="500" w:lineRule="exact"/>
        <w:ind w:firstLine="480" w:firstLineChars="200"/>
        <w:rPr>
          <w:rFonts w:ascii="宋体" w:hAnsi="宋体" w:cs="宋体"/>
          <w:sz w:val="24"/>
        </w:rPr>
      </w:pPr>
      <w:r>
        <w:rPr>
          <w:rFonts w:hint="eastAsia" w:ascii="宋体" w:hAnsi="宋体" w:cs="宋体"/>
          <w:sz w:val="24"/>
        </w:rPr>
        <w:t>16.4 投标保证金应以公对公转账方式提交。本招标不接受其他形式的投标保证金。</w:t>
      </w:r>
    </w:p>
    <w:p>
      <w:pPr>
        <w:spacing w:line="500" w:lineRule="exact"/>
        <w:ind w:firstLine="480" w:firstLineChars="200"/>
        <w:rPr>
          <w:rFonts w:ascii="宋体" w:hAnsi="宋体" w:cs="宋体"/>
          <w:sz w:val="24"/>
        </w:rPr>
      </w:pPr>
      <w:r>
        <w:rPr>
          <w:rFonts w:hint="eastAsia" w:ascii="宋体" w:hAnsi="宋体" w:cs="宋体"/>
          <w:sz w:val="24"/>
        </w:rPr>
        <w:t>16.5在招标方规定的投标有效期满之前，招标方将以书面形式发出《中标通知书》，《中标通知书》一经发出即发生法律效力。</w:t>
      </w:r>
    </w:p>
    <w:p>
      <w:pPr>
        <w:spacing w:line="500" w:lineRule="exact"/>
        <w:ind w:firstLine="480" w:firstLineChars="200"/>
        <w:rPr>
          <w:rFonts w:ascii="宋体" w:hAnsi="宋体" w:cs="宋体"/>
          <w:sz w:val="24"/>
        </w:rPr>
      </w:pPr>
      <w:r>
        <w:rPr>
          <w:rFonts w:hint="eastAsia" w:ascii="宋体" w:hAnsi="宋体" w:cs="宋体"/>
          <w:sz w:val="24"/>
        </w:rPr>
        <w:t>16.6 发生以下情况投标保证金可能被没收：</w:t>
      </w:r>
    </w:p>
    <w:p>
      <w:pPr>
        <w:spacing w:line="500" w:lineRule="exact"/>
        <w:ind w:firstLine="480" w:firstLineChars="200"/>
        <w:rPr>
          <w:rFonts w:ascii="宋体" w:hAnsi="宋体" w:cs="宋体"/>
          <w:sz w:val="24"/>
        </w:rPr>
      </w:pPr>
      <w:r>
        <w:rPr>
          <w:rFonts w:hint="eastAsia" w:ascii="宋体" w:hAnsi="宋体" w:cs="宋体"/>
          <w:sz w:val="24"/>
        </w:rPr>
        <w:t>16.6</w:t>
      </w:r>
      <w:r>
        <w:rPr>
          <w:rFonts w:hint="eastAsia" w:ascii="宋体" w:hAnsi="宋体" w:cs="宋体"/>
          <w:sz w:val="24"/>
          <w:lang w:val="en-US" w:eastAsia="zh-CN"/>
        </w:rPr>
        <w:t>.1</w:t>
      </w:r>
      <w:r>
        <w:rPr>
          <w:rFonts w:hint="eastAsia" w:ascii="宋体" w:hAnsi="宋体" w:cs="宋体"/>
          <w:sz w:val="24"/>
        </w:rPr>
        <w:t>投标人在招标文件中规定的投标有效期内撤回其投标;</w:t>
      </w:r>
    </w:p>
    <w:p>
      <w:pPr>
        <w:spacing w:line="500" w:lineRule="exact"/>
        <w:ind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.2</w:t>
      </w:r>
      <w:r>
        <w:rPr>
          <w:rFonts w:hint="eastAsia" w:ascii="宋体" w:hAnsi="宋体" w:cs="宋体"/>
          <w:sz w:val="24"/>
        </w:rPr>
        <w:t>中标人在规定期限内未能：</w:t>
      </w:r>
    </w:p>
    <w:p>
      <w:pPr>
        <w:spacing w:line="500" w:lineRule="exact"/>
        <w:ind w:firstLine="480" w:firstLineChars="200"/>
        <w:rPr>
          <w:rFonts w:hint="eastAsia" w:ascii="宋体" w:hAnsi="宋体" w:cs="宋体"/>
          <w:sz w:val="24"/>
        </w:rPr>
      </w:pPr>
      <w:r>
        <w:rPr>
          <w:rFonts w:hint="eastAsia" w:ascii="宋体" w:hAnsi="宋体" w:cs="宋体"/>
          <w:sz w:val="24"/>
        </w:rPr>
        <w:t>(1)根据投标人按规定签订合同或按规定接受对错误的修正;</w:t>
      </w:r>
    </w:p>
    <w:p>
      <w:pPr>
        <w:spacing w:line="500" w:lineRule="exact"/>
        <w:ind w:firstLine="480" w:firstLineChars="200"/>
        <w:rPr>
          <w:rFonts w:hint="eastAsia" w:ascii="宋体" w:hAnsi="宋体" w:cs="宋体"/>
          <w:sz w:val="24"/>
        </w:rPr>
      </w:pPr>
      <w:r>
        <w:rPr>
          <w:rFonts w:hint="eastAsia" w:ascii="宋体" w:hAnsi="宋体" w:cs="宋体"/>
          <w:sz w:val="24"/>
        </w:rPr>
        <w:t>(2)根据招标文件规定未提交履约保证金。</w:t>
      </w:r>
    </w:p>
    <w:p>
      <w:pPr>
        <w:spacing w:line="500" w:lineRule="exact"/>
        <w:ind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.3</w:t>
      </w:r>
      <w:r>
        <w:rPr>
          <w:rFonts w:hint="eastAsia" w:ascii="宋体" w:hAnsi="宋体" w:cs="宋体"/>
          <w:sz w:val="24"/>
        </w:rPr>
        <w:t>投标人采用不正当的手段骗取中标。</w:t>
      </w:r>
    </w:p>
    <w:p>
      <w:pPr>
        <w:spacing w:line="500" w:lineRule="exact"/>
        <w:ind w:left="0" w:leftChars="0" w:firstLine="480" w:firstLineChars="200"/>
        <w:rPr>
          <w:rFonts w:hint="eastAsia" w:ascii="宋体" w:hAnsi="宋体" w:cs="宋体"/>
          <w:sz w:val="24"/>
        </w:rPr>
      </w:pPr>
      <w:r>
        <w:rPr>
          <w:rFonts w:hint="eastAsia" w:ascii="宋体" w:hAnsi="宋体" w:cs="宋体"/>
          <w:sz w:val="24"/>
        </w:rPr>
        <w:t>16.6.</w:t>
      </w:r>
      <w:r>
        <w:rPr>
          <w:rFonts w:hint="eastAsia" w:ascii="宋体" w:hAnsi="宋体" w:cs="宋体"/>
          <w:sz w:val="24"/>
          <w:lang w:val="en-US" w:eastAsia="zh-CN"/>
        </w:rPr>
        <w:t>4</w:t>
      </w:r>
      <w:r>
        <w:rPr>
          <w:rFonts w:hint="eastAsia" w:ascii="宋体" w:hAnsi="宋体" w:cs="宋体"/>
          <w:sz w:val="24"/>
        </w:rPr>
        <w:t>投标人在投标过程中有违反有关法律法规行为的。</w:t>
      </w:r>
    </w:p>
    <w:p>
      <w:pPr>
        <w:spacing w:line="480" w:lineRule="exact"/>
        <w:ind w:left="120" w:hanging="120"/>
        <w:jc w:val="center"/>
        <w:rPr>
          <w:rFonts w:ascii="宋体" w:hAnsi="宋体" w:cs="宋体"/>
          <w:b/>
          <w:sz w:val="24"/>
        </w:rPr>
      </w:pPr>
    </w:p>
    <w:p>
      <w:pPr>
        <w:numPr>
          <w:ilvl w:val="0"/>
          <w:numId w:val="5"/>
        </w:numPr>
        <w:spacing w:line="480" w:lineRule="exact"/>
        <w:ind w:left="120" w:hanging="120"/>
        <w:jc w:val="center"/>
        <w:rPr>
          <w:rFonts w:ascii="宋体" w:hAnsi="宋体" w:cs="宋体"/>
          <w:b/>
          <w:sz w:val="24"/>
        </w:rPr>
      </w:pPr>
      <w:r>
        <w:rPr>
          <w:rFonts w:hint="eastAsia" w:ascii="宋体" w:hAnsi="宋体" w:cs="宋体"/>
          <w:b/>
          <w:sz w:val="24"/>
        </w:rPr>
        <w:t>投标文件的递交</w:t>
      </w:r>
    </w:p>
    <w:p>
      <w:pPr>
        <w:spacing w:line="480" w:lineRule="exact"/>
        <w:ind w:firstLine="482" w:firstLineChars="200"/>
        <w:rPr>
          <w:rFonts w:ascii="宋体" w:hAnsi="宋体" w:cs="宋体"/>
          <w:b/>
          <w:sz w:val="24"/>
        </w:rPr>
      </w:pPr>
      <w:r>
        <w:rPr>
          <w:rFonts w:hint="eastAsia" w:ascii="宋体" w:hAnsi="宋体" w:cs="宋体"/>
          <w:b/>
          <w:sz w:val="24"/>
        </w:rPr>
        <w:t>17、投标文件的密封与标记</w:t>
      </w:r>
    </w:p>
    <w:p>
      <w:pPr>
        <w:widowControl/>
        <w:spacing w:line="480" w:lineRule="exact"/>
        <w:ind w:left="-2" w:leftChars="-1" w:firstLine="463" w:firstLineChars="193"/>
        <w:rPr>
          <w:rFonts w:ascii="宋体" w:hAnsi="宋体" w:cs="宋体"/>
          <w:sz w:val="24"/>
        </w:rPr>
      </w:pPr>
      <w:r>
        <w:rPr>
          <w:rFonts w:hint="eastAsia" w:ascii="宋体" w:hAnsi="宋体" w:cs="宋体"/>
          <w:sz w:val="24"/>
        </w:rPr>
        <w:t>17.1</w:t>
      </w:r>
      <w:r>
        <w:rPr>
          <w:rFonts w:hint="eastAsia" w:ascii="宋体" w:hAnsi="宋体" w:cs="宋体"/>
          <w:b/>
          <w:sz w:val="24"/>
        </w:rPr>
        <w:t>投标方应将投标文件正、副本、开标一览表、电子版投标文件分别密封，在密封件的封面上标明正本或副本、投标人名称、法定代表人、单位公章（或合同专用章）</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17.2所有投标文件信袋及包装物上均应贴上封条，封条上应注明以下内容：</w:t>
      </w:r>
    </w:p>
    <w:p>
      <w:pPr>
        <w:spacing w:line="480" w:lineRule="exact"/>
        <w:ind w:firstLine="480" w:firstLineChars="200"/>
        <w:rPr>
          <w:rFonts w:ascii="宋体" w:hAnsi="宋体" w:cs="宋体"/>
          <w:sz w:val="24"/>
        </w:rPr>
      </w:pPr>
      <w:r>
        <w:rPr>
          <w:rFonts w:hint="eastAsia" w:ascii="宋体" w:hAnsi="宋体" w:cs="宋体"/>
          <w:sz w:val="24"/>
        </w:rPr>
        <w:t xml:space="preserve">（1）招标单位； </w:t>
      </w:r>
    </w:p>
    <w:p>
      <w:pPr>
        <w:spacing w:line="480" w:lineRule="exact"/>
        <w:ind w:firstLine="480" w:firstLineChars="200"/>
        <w:rPr>
          <w:rFonts w:ascii="宋体" w:hAnsi="宋体" w:cs="宋体"/>
          <w:sz w:val="24"/>
        </w:rPr>
      </w:pPr>
      <w:r>
        <w:rPr>
          <w:rFonts w:hint="eastAsia" w:ascii="宋体" w:hAnsi="宋体" w:cs="宋体"/>
          <w:sz w:val="24"/>
        </w:rPr>
        <w:t>（2）项目名称；</w:t>
      </w:r>
    </w:p>
    <w:p>
      <w:pPr>
        <w:spacing w:line="480" w:lineRule="exact"/>
        <w:ind w:firstLine="480" w:firstLineChars="200"/>
        <w:rPr>
          <w:rFonts w:ascii="宋体" w:hAnsi="宋体" w:cs="宋体"/>
          <w:sz w:val="24"/>
        </w:rPr>
      </w:pPr>
      <w:r>
        <w:rPr>
          <w:rFonts w:hint="eastAsia" w:ascii="宋体" w:hAnsi="宋体" w:cs="宋体"/>
          <w:sz w:val="24"/>
        </w:rPr>
        <w:t>（3）标书编号；</w:t>
      </w:r>
    </w:p>
    <w:p>
      <w:pPr>
        <w:spacing w:line="480" w:lineRule="exact"/>
        <w:ind w:firstLine="480" w:firstLineChars="200"/>
        <w:rPr>
          <w:rFonts w:ascii="宋体" w:hAnsi="宋体" w:cs="宋体"/>
          <w:sz w:val="24"/>
        </w:rPr>
      </w:pPr>
      <w:r>
        <w:rPr>
          <w:rFonts w:hint="eastAsia" w:ascii="宋体" w:hAnsi="宋体" w:cs="宋体"/>
          <w:sz w:val="24"/>
        </w:rPr>
        <w:t>（4）投标企业名称和地址；</w:t>
      </w:r>
    </w:p>
    <w:p>
      <w:pPr>
        <w:spacing w:line="480" w:lineRule="exact"/>
        <w:ind w:firstLine="480" w:firstLineChars="200"/>
        <w:rPr>
          <w:rFonts w:ascii="宋体" w:hAnsi="宋体" w:cs="宋体"/>
          <w:sz w:val="24"/>
        </w:rPr>
      </w:pPr>
      <w:r>
        <w:rPr>
          <w:rFonts w:hint="eastAsia" w:ascii="宋体" w:hAnsi="宋体" w:cs="宋体"/>
          <w:sz w:val="24"/>
        </w:rPr>
        <w:t>（5）“开标前不准启封”；</w:t>
      </w:r>
    </w:p>
    <w:p>
      <w:pPr>
        <w:spacing w:line="480" w:lineRule="exact"/>
        <w:ind w:firstLine="480" w:firstLineChars="200"/>
        <w:rPr>
          <w:rFonts w:ascii="宋体" w:hAnsi="宋体" w:cs="宋体"/>
          <w:sz w:val="24"/>
        </w:rPr>
      </w:pPr>
      <w:r>
        <w:rPr>
          <w:rFonts w:hint="eastAsia" w:ascii="宋体" w:hAnsi="宋体" w:cs="宋体"/>
          <w:sz w:val="24"/>
        </w:rPr>
        <w:t>17.4未按本须知要求密封、标记和递交的投标文件，后果自负。</w:t>
      </w:r>
    </w:p>
    <w:p>
      <w:pPr>
        <w:spacing w:line="480" w:lineRule="exact"/>
        <w:ind w:firstLine="482" w:firstLineChars="200"/>
        <w:rPr>
          <w:rFonts w:ascii="宋体" w:hAnsi="宋体" w:cs="宋体"/>
          <w:b/>
          <w:sz w:val="24"/>
        </w:rPr>
      </w:pPr>
      <w:r>
        <w:rPr>
          <w:rFonts w:hint="eastAsia" w:ascii="宋体" w:hAnsi="宋体" w:cs="宋体"/>
          <w:b/>
          <w:sz w:val="24"/>
        </w:rPr>
        <w:t>18、投标文件递交的截止日期</w:t>
      </w:r>
    </w:p>
    <w:p>
      <w:pPr>
        <w:spacing w:line="480" w:lineRule="exact"/>
        <w:ind w:firstLine="480" w:firstLineChars="200"/>
        <w:rPr>
          <w:rFonts w:ascii="宋体" w:hAnsi="宋体" w:cs="宋体"/>
          <w:sz w:val="24"/>
        </w:rPr>
      </w:pPr>
      <w:r>
        <w:rPr>
          <w:rFonts w:hint="eastAsia" w:ascii="宋体" w:hAnsi="宋体" w:cs="宋体"/>
          <w:sz w:val="24"/>
        </w:rPr>
        <w:t>18.1投标人必须按“投标人须知前附表”中规定的投标截止时间将投标文件送达</w:t>
      </w:r>
      <w:r>
        <w:rPr>
          <w:rFonts w:hint="eastAsia" w:ascii="宋体" w:hAnsi="宋体" w:cs="宋体"/>
          <w:b/>
          <w:sz w:val="24"/>
          <w:u w:val="single"/>
        </w:rPr>
        <w:t xml:space="preserve"> 开标地点 </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18.2超过招标文件规定的投标截止时间送达或邮寄的投标文件将不予接受。</w:t>
      </w:r>
    </w:p>
    <w:p>
      <w:pPr>
        <w:spacing w:line="480" w:lineRule="exact"/>
        <w:ind w:firstLine="482" w:firstLineChars="200"/>
        <w:rPr>
          <w:rFonts w:ascii="宋体" w:hAnsi="宋体" w:cs="宋体"/>
          <w:b/>
          <w:sz w:val="24"/>
        </w:rPr>
      </w:pPr>
      <w:r>
        <w:rPr>
          <w:rFonts w:hint="eastAsia" w:ascii="宋体" w:hAnsi="宋体" w:cs="宋体"/>
          <w:b/>
          <w:sz w:val="24"/>
        </w:rPr>
        <w:t>19、投标文件的修改和撤消</w:t>
      </w:r>
    </w:p>
    <w:p>
      <w:pPr>
        <w:spacing w:line="480" w:lineRule="exact"/>
        <w:ind w:firstLine="480" w:firstLineChars="200"/>
        <w:rPr>
          <w:rFonts w:ascii="宋体" w:hAnsi="宋体" w:cs="宋体"/>
          <w:sz w:val="24"/>
        </w:rPr>
      </w:pPr>
      <w:r>
        <w:rPr>
          <w:rFonts w:hint="eastAsia" w:ascii="宋体" w:hAnsi="宋体" w:cs="宋体"/>
          <w:sz w:val="24"/>
        </w:rPr>
        <w:t>19.1 投标人可以在递交投标文件后，在规定的投标截止时间前，以书面形式向招标人递交通知修改或撤回其投标文件。</w:t>
      </w:r>
    </w:p>
    <w:p>
      <w:pPr>
        <w:spacing w:line="480" w:lineRule="exact"/>
        <w:ind w:firstLine="480" w:firstLineChars="200"/>
        <w:rPr>
          <w:rFonts w:ascii="宋体" w:hAnsi="宋体" w:cs="宋体"/>
          <w:sz w:val="24"/>
        </w:rPr>
      </w:pPr>
      <w:r>
        <w:rPr>
          <w:rFonts w:hint="eastAsia" w:ascii="宋体" w:hAnsi="宋体" w:cs="宋体"/>
          <w:sz w:val="24"/>
        </w:rPr>
        <w:t>19.2 投标人对投标文件的修改或撤消应按本章第18和19条规定进行准备、密封、标注和递交。</w:t>
      </w:r>
    </w:p>
    <w:p>
      <w:pPr>
        <w:spacing w:line="480" w:lineRule="exact"/>
        <w:ind w:firstLine="480" w:firstLineChars="200"/>
        <w:rPr>
          <w:rFonts w:ascii="宋体" w:hAnsi="宋体" w:cs="宋体"/>
          <w:sz w:val="24"/>
        </w:rPr>
      </w:pPr>
      <w:r>
        <w:rPr>
          <w:rFonts w:hint="eastAsia" w:ascii="宋体" w:hAnsi="宋体" w:cs="宋体"/>
          <w:sz w:val="24"/>
        </w:rPr>
        <w:t>19.3 投标截止时间后不得修改投标文件。</w:t>
      </w:r>
    </w:p>
    <w:p>
      <w:pPr>
        <w:spacing w:line="480" w:lineRule="exact"/>
        <w:ind w:firstLine="480" w:firstLineChars="200"/>
        <w:rPr>
          <w:rFonts w:ascii="宋体" w:hAnsi="宋体" w:cs="宋体"/>
          <w:sz w:val="24"/>
        </w:rPr>
      </w:pPr>
      <w:r>
        <w:rPr>
          <w:rFonts w:hint="eastAsia" w:ascii="宋体" w:hAnsi="宋体" w:cs="宋体"/>
          <w:sz w:val="24"/>
        </w:rPr>
        <w:t>19.4投标人不得在投标截止时间起至投标文件有效期满前撤消投标文件，否则招标机构将没收其投标保证金。作为对招标代理机构和招标人的违约赔偿金。</w:t>
      </w:r>
    </w:p>
    <w:p>
      <w:pPr>
        <w:spacing w:line="480" w:lineRule="exact"/>
        <w:ind w:left="120" w:hanging="120"/>
        <w:jc w:val="center"/>
        <w:rPr>
          <w:rFonts w:ascii="宋体" w:hAnsi="宋体" w:cs="宋体"/>
          <w:b/>
          <w:sz w:val="24"/>
        </w:rPr>
      </w:pPr>
    </w:p>
    <w:p>
      <w:pPr>
        <w:spacing w:line="480" w:lineRule="exact"/>
        <w:ind w:left="120" w:hanging="120"/>
        <w:jc w:val="center"/>
        <w:rPr>
          <w:rFonts w:ascii="宋体" w:hAnsi="宋体" w:cs="宋体"/>
          <w:b/>
          <w:sz w:val="24"/>
        </w:rPr>
      </w:pPr>
      <w:r>
        <w:rPr>
          <w:rFonts w:hint="eastAsia" w:ascii="宋体" w:hAnsi="宋体" w:cs="宋体"/>
          <w:b/>
          <w:sz w:val="24"/>
        </w:rPr>
        <w:t>五、开    标</w:t>
      </w:r>
    </w:p>
    <w:p>
      <w:pPr>
        <w:spacing w:line="480" w:lineRule="exact"/>
        <w:ind w:firstLine="482" w:firstLineChars="200"/>
        <w:rPr>
          <w:rFonts w:ascii="宋体" w:hAnsi="宋体" w:cs="宋体"/>
          <w:b/>
          <w:sz w:val="24"/>
        </w:rPr>
      </w:pPr>
      <w:r>
        <w:rPr>
          <w:rFonts w:hint="eastAsia" w:ascii="宋体" w:hAnsi="宋体" w:cs="宋体"/>
          <w:b/>
          <w:sz w:val="24"/>
        </w:rPr>
        <w:t>20、开标</w:t>
      </w:r>
    </w:p>
    <w:p>
      <w:pPr>
        <w:spacing w:line="480" w:lineRule="exact"/>
        <w:ind w:firstLine="480" w:firstLineChars="200"/>
        <w:rPr>
          <w:rFonts w:ascii="宋体" w:hAnsi="宋体" w:cs="宋体"/>
          <w:sz w:val="24"/>
        </w:rPr>
      </w:pPr>
      <w:r>
        <w:rPr>
          <w:rFonts w:hint="eastAsia" w:ascii="宋体" w:hAnsi="宋体" w:cs="宋体"/>
          <w:sz w:val="24"/>
        </w:rPr>
        <w:t>20.1 招标代理机构按“投标人须知前附表”规定的时间和地点开标，届时请监督人和投标方代表参加并签到。</w:t>
      </w:r>
    </w:p>
    <w:p>
      <w:pPr>
        <w:spacing w:line="480" w:lineRule="exact"/>
        <w:ind w:firstLine="480" w:firstLineChars="200"/>
        <w:rPr>
          <w:rFonts w:ascii="宋体" w:hAnsi="宋体" w:cs="宋体"/>
          <w:sz w:val="24"/>
        </w:rPr>
      </w:pPr>
      <w:r>
        <w:rPr>
          <w:rFonts w:hint="eastAsia" w:ascii="宋体" w:hAnsi="宋体" w:cs="宋体"/>
          <w:sz w:val="24"/>
        </w:rPr>
        <w:t>20.2 开标时先由投标人代表和监督人对投标人有效资质及投标文件的密封与标志及进行核查；唱标人宣读投标文件正本、“开标一览表”有关内容及投标文件的修改、撤消和招标代理机构认为合适的其它内容。</w:t>
      </w:r>
    </w:p>
    <w:p>
      <w:pPr>
        <w:autoSpaceDE w:val="0"/>
        <w:autoSpaceDN w:val="0"/>
        <w:adjustRightInd w:val="0"/>
        <w:spacing w:line="480" w:lineRule="exact"/>
        <w:ind w:left="120" w:hanging="120"/>
        <w:jc w:val="left"/>
        <w:rPr>
          <w:rFonts w:ascii="宋体" w:hAnsi="宋体" w:cs="宋体"/>
          <w:sz w:val="24"/>
        </w:rPr>
      </w:pPr>
      <w:r>
        <w:rPr>
          <w:rFonts w:hint="eastAsia" w:ascii="宋体" w:hAnsi="宋体" w:cs="宋体"/>
          <w:sz w:val="24"/>
        </w:rPr>
        <w:t xml:space="preserve">    20.3 有效证件</w:t>
      </w:r>
    </w:p>
    <w:p>
      <w:pPr>
        <w:spacing w:line="480" w:lineRule="exact"/>
        <w:ind w:firstLine="482" w:firstLineChars="200"/>
        <w:rPr>
          <w:rFonts w:ascii="宋体" w:hAnsi="宋体" w:cs="宋体"/>
          <w:b/>
          <w:color w:val="000000"/>
          <w:sz w:val="24"/>
        </w:rPr>
      </w:pPr>
      <w:r>
        <w:rPr>
          <w:rFonts w:hint="eastAsia" w:ascii="宋体" w:hAnsi="宋体" w:cs="宋体"/>
          <w:b/>
          <w:color w:val="000000"/>
          <w:sz w:val="24"/>
        </w:rPr>
        <w:t>开标时，请各投标人随身携带以下有效证件的原件以备查验：</w:t>
      </w:r>
    </w:p>
    <w:p>
      <w:pPr>
        <w:numPr>
          <w:ilvl w:val="0"/>
          <w:numId w:val="7"/>
        </w:numPr>
        <w:spacing w:line="480" w:lineRule="exact"/>
        <w:ind w:firstLine="482" w:firstLineChars="200"/>
        <w:rPr>
          <w:rFonts w:hint="eastAsia" w:ascii="宋体" w:hAnsi="宋体" w:cs="宋体"/>
          <w:b/>
          <w:color w:val="0000FF"/>
          <w:sz w:val="24"/>
          <w:highlight w:val="none"/>
          <w:lang w:eastAsia="zh-CN"/>
        </w:rPr>
      </w:pPr>
      <w:r>
        <w:rPr>
          <w:rFonts w:hint="eastAsia" w:ascii="宋体" w:hAnsi="宋体" w:eastAsia="宋体" w:cs="宋体"/>
          <w:b/>
          <w:color w:val="0000FF"/>
          <w:sz w:val="24"/>
          <w:highlight w:val="none"/>
          <w:lang w:val="en-US" w:eastAsia="zh-CN"/>
        </w:rPr>
        <w:t>有效的营业执照、税务登记证、组织机构代码证（或</w:t>
      </w:r>
      <w:r>
        <w:rPr>
          <w:rFonts w:hint="eastAsia" w:ascii="宋体" w:hAnsi="宋体" w:eastAsia="宋体" w:cs="宋体"/>
          <w:b/>
          <w:color w:val="0000FF"/>
          <w:sz w:val="24"/>
          <w:highlight w:val="none"/>
        </w:rPr>
        <w:t>三证合一营业执照</w:t>
      </w:r>
      <w:r>
        <w:rPr>
          <w:rFonts w:hint="eastAsia" w:ascii="宋体" w:hAnsi="宋体" w:eastAsia="宋体" w:cs="宋体"/>
          <w:b/>
          <w:color w:val="0000FF"/>
          <w:sz w:val="24"/>
          <w:highlight w:val="none"/>
          <w:lang w:eastAsia="zh-CN"/>
        </w:rPr>
        <w:t>）</w:t>
      </w:r>
      <w:r>
        <w:rPr>
          <w:rFonts w:hint="eastAsia" w:ascii="宋体" w:hAnsi="宋体" w:cs="宋体"/>
          <w:b/>
          <w:color w:val="0000FF"/>
          <w:sz w:val="24"/>
          <w:highlight w:val="none"/>
          <w:lang w:eastAsia="zh-CN"/>
        </w:rPr>
        <w:t>；</w:t>
      </w:r>
    </w:p>
    <w:p>
      <w:pPr>
        <w:numPr>
          <w:ilvl w:val="0"/>
          <w:numId w:val="0"/>
        </w:numPr>
        <w:spacing w:line="480" w:lineRule="exact"/>
        <w:ind w:leftChars="200" w:right="62" w:rightChars="0"/>
        <w:rPr>
          <w:rFonts w:ascii="宋体" w:hAnsi="宋体" w:cs="宋体"/>
          <w:b/>
          <w:color w:val="0000FF"/>
          <w:sz w:val="24"/>
          <w:highlight w:val="none"/>
        </w:rPr>
      </w:pPr>
      <w:r>
        <w:rPr>
          <w:rFonts w:hint="eastAsia" w:ascii="宋体" w:hAnsi="宋体" w:cs="宋体"/>
          <w:b/>
          <w:color w:val="0000FF"/>
          <w:sz w:val="24"/>
          <w:highlight w:val="none"/>
          <w:lang w:val="en-US" w:eastAsia="zh-CN"/>
        </w:rPr>
        <w:t>2、</w:t>
      </w:r>
      <w:r>
        <w:rPr>
          <w:rFonts w:hint="eastAsia" w:ascii="宋体" w:hAnsi="宋体" w:eastAsia="宋体" w:cs="宋体"/>
          <w:b/>
          <w:color w:val="0000FF"/>
          <w:sz w:val="24"/>
          <w:highlight w:val="none"/>
          <w:lang w:val="en-US" w:eastAsia="zh-CN"/>
        </w:rPr>
        <w:t>建设工程质量检测机构资质证书（须包含主体结构工程检测等专项检测）原件</w:t>
      </w:r>
      <w:r>
        <w:rPr>
          <w:rFonts w:hint="eastAsia" w:ascii="宋体" w:hAnsi="宋体" w:cs="宋体"/>
          <w:b/>
          <w:color w:val="0000FF"/>
          <w:sz w:val="24"/>
          <w:highlight w:val="none"/>
          <w:lang w:val="en-US" w:eastAsia="zh-CN"/>
        </w:rPr>
        <w:t>；</w:t>
      </w:r>
    </w:p>
    <w:p>
      <w:pPr>
        <w:numPr>
          <w:ilvl w:val="0"/>
          <w:numId w:val="0"/>
        </w:numPr>
        <w:spacing w:line="480" w:lineRule="exact"/>
        <w:ind w:leftChars="200" w:right="62" w:rightChars="0"/>
        <w:rPr>
          <w:rFonts w:ascii="宋体" w:hAnsi="宋体" w:cs="宋体"/>
          <w:b/>
          <w:color w:val="0000FF"/>
          <w:sz w:val="24"/>
          <w:highlight w:val="none"/>
        </w:rPr>
      </w:pPr>
      <w:r>
        <w:rPr>
          <w:rFonts w:hint="eastAsia" w:ascii="宋体" w:hAnsi="宋体" w:cs="宋体"/>
          <w:b/>
          <w:color w:val="0000FF"/>
          <w:sz w:val="24"/>
          <w:highlight w:val="none"/>
          <w:lang w:val="en-US" w:eastAsia="zh-CN"/>
        </w:rPr>
        <w:t>3</w:t>
      </w:r>
      <w:r>
        <w:rPr>
          <w:rFonts w:hint="eastAsia" w:ascii="宋体" w:hAnsi="宋体" w:eastAsia="宋体" w:cs="宋体"/>
          <w:b/>
          <w:color w:val="0000FF"/>
          <w:sz w:val="24"/>
          <w:highlight w:val="none"/>
        </w:rPr>
        <w:t>、法人委托人</w:t>
      </w:r>
      <w:r>
        <w:rPr>
          <w:rFonts w:hint="eastAsia" w:ascii="宋体" w:hAnsi="宋体" w:cs="宋体"/>
          <w:b/>
          <w:color w:val="0000FF"/>
          <w:sz w:val="24"/>
          <w:highlight w:val="none"/>
        </w:rPr>
        <w:t>须携带法人代表授权书原件及委托人身份证原件(授权书需附法人身份证及委托人身份证复印件)</w:t>
      </w:r>
      <w:r>
        <w:rPr>
          <w:rFonts w:hint="eastAsia" w:ascii="宋体" w:hAnsi="宋体" w:cs="宋体"/>
          <w:b/>
          <w:color w:val="0000FF"/>
          <w:sz w:val="24"/>
          <w:highlight w:val="none"/>
          <w:lang w:eastAsia="zh-CN"/>
        </w:rPr>
        <w:t>；</w:t>
      </w:r>
    </w:p>
    <w:p>
      <w:pPr>
        <w:spacing w:line="480" w:lineRule="exact"/>
        <w:ind w:firstLine="482" w:firstLineChars="200"/>
        <w:rPr>
          <w:rFonts w:hint="eastAsia" w:ascii="宋体" w:hAnsi="宋体" w:cs="宋体"/>
          <w:b/>
          <w:color w:val="0000FF"/>
          <w:sz w:val="24"/>
          <w:highlight w:val="none"/>
        </w:rPr>
      </w:pPr>
      <w:r>
        <w:rPr>
          <w:rFonts w:hint="eastAsia" w:ascii="宋体" w:hAnsi="宋体" w:cs="宋体"/>
          <w:b/>
          <w:color w:val="0000FF"/>
          <w:sz w:val="24"/>
          <w:highlight w:val="none"/>
          <w:lang w:val="en-US" w:eastAsia="zh-CN"/>
        </w:rPr>
        <w:t>4</w:t>
      </w:r>
      <w:r>
        <w:rPr>
          <w:rFonts w:hint="eastAsia" w:ascii="宋体" w:hAnsi="宋体" w:cs="宋体"/>
          <w:b/>
          <w:color w:val="0000FF"/>
          <w:sz w:val="24"/>
          <w:highlight w:val="none"/>
        </w:rPr>
        <w:t>、</w:t>
      </w:r>
      <w:r>
        <w:rPr>
          <w:rFonts w:hint="eastAsia" w:ascii="宋体" w:hAnsi="宋体" w:cs="宋体"/>
          <w:b/>
          <w:color w:val="0000FF"/>
          <w:sz w:val="24"/>
          <w:highlight w:val="none"/>
          <w:lang w:eastAsia="zh-CN"/>
        </w:rPr>
        <w:t>被授权委托人在本单位缴纳的近</w:t>
      </w:r>
      <w:r>
        <w:rPr>
          <w:rFonts w:hint="eastAsia" w:ascii="宋体" w:hAnsi="宋体" w:cs="宋体"/>
          <w:b/>
          <w:color w:val="0000FF"/>
          <w:sz w:val="24"/>
          <w:highlight w:val="none"/>
          <w:lang w:val="en-US" w:eastAsia="zh-CN"/>
        </w:rPr>
        <w:t>六</w:t>
      </w:r>
      <w:r>
        <w:rPr>
          <w:rFonts w:hint="eastAsia" w:ascii="宋体" w:hAnsi="宋体" w:cs="宋体"/>
          <w:b/>
          <w:color w:val="0000FF"/>
          <w:sz w:val="24"/>
          <w:highlight w:val="none"/>
          <w:lang w:eastAsia="zh-CN"/>
        </w:rPr>
        <w:t>个月内社保缴纳证明（社保缴费凭证原件和个人明细表）；</w:t>
      </w:r>
    </w:p>
    <w:p>
      <w:pPr>
        <w:spacing w:line="480" w:lineRule="exact"/>
        <w:ind w:firstLine="482" w:firstLineChars="200"/>
        <w:rPr>
          <w:rFonts w:ascii="宋体" w:hAnsi="宋体" w:cs="宋体"/>
          <w:b/>
          <w:color w:val="0000FF"/>
          <w:sz w:val="24"/>
          <w:highlight w:val="none"/>
        </w:rPr>
      </w:pPr>
      <w:r>
        <w:rPr>
          <w:rFonts w:hint="eastAsia" w:ascii="宋体" w:hAnsi="宋体" w:cs="宋体"/>
          <w:b/>
          <w:color w:val="0000FF"/>
          <w:sz w:val="24"/>
          <w:highlight w:val="none"/>
          <w:lang w:val="en-US" w:eastAsia="zh-CN"/>
        </w:rPr>
        <w:t>5</w:t>
      </w:r>
      <w:r>
        <w:rPr>
          <w:rFonts w:hint="eastAsia" w:ascii="宋体" w:hAnsi="宋体" w:cs="宋体"/>
          <w:b/>
          <w:color w:val="0000FF"/>
          <w:sz w:val="24"/>
          <w:highlight w:val="none"/>
        </w:rPr>
        <w:t>、</w:t>
      </w:r>
      <w:r>
        <w:rPr>
          <w:rFonts w:hint="eastAsia" w:ascii="宋体" w:hAnsi="宋体" w:cs="宋体"/>
          <w:b/>
          <w:color w:val="0000FF"/>
          <w:sz w:val="24"/>
          <w:highlight w:val="none"/>
          <w:lang w:val="en-US" w:eastAsia="zh-CN"/>
        </w:rPr>
        <w:t>具有良好的商业信誉和健全的财务会计制度（提供2019年度财务审计报告）</w:t>
      </w:r>
      <w:r>
        <w:rPr>
          <w:rFonts w:hint="eastAsia" w:ascii="宋体" w:hAnsi="宋体" w:cs="宋体"/>
          <w:b/>
          <w:color w:val="0000FF"/>
          <w:sz w:val="24"/>
          <w:highlight w:val="none"/>
        </w:rPr>
        <w:t>。</w:t>
      </w:r>
    </w:p>
    <w:p>
      <w:pPr>
        <w:spacing w:line="480" w:lineRule="exact"/>
        <w:ind w:firstLine="482" w:firstLineChars="200"/>
        <w:rPr>
          <w:rFonts w:hint="eastAsia" w:ascii="宋体" w:hAnsi="宋体" w:eastAsia="宋体" w:cs="宋体"/>
          <w:b/>
          <w:color w:val="0000FF"/>
          <w:sz w:val="24"/>
          <w:lang w:val="en-US" w:eastAsia="zh-CN"/>
        </w:rPr>
      </w:pPr>
      <w:r>
        <w:rPr>
          <w:rFonts w:hint="eastAsia" w:ascii="宋体" w:hAnsi="宋体" w:cs="宋体"/>
          <w:b/>
          <w:color w:val="0000FF"/>
          <w:sz w:val="24"/>
          <w:lang w:val="en-US" w:eastAsia="zh-CN"/>
        </w:rPr>
        <w:t>6</w:t>
      </w:r>
      <w:r>
        <w:rPr>
          <w:rFonts w:hint="eastAsia" w:ascii="宋体" w:hAnsi="宋体" w:cs="宋体"/>
          <w:b/>
          <w:color w:val="0000FF"/>
          <w:sz w:val="24"/>
        </w:rPr>
        <w:t>、投标保证金转账凭证</w:t>
      </w:r>
      <w:r>
        <w:rPr>
          <w:rFonts w:hint="eastAsia" w:ascii="宋体" w:hAnsi="宋体" w:cs="宋体"/>
          <w:b/>
          <w:color w:val="0000FF"/>
          <w:sz w:val="24"/>
          <w:lang w:eastAsia="zh-CN"/>
        </w:rPr>
        <w:t>。</w:t>
      </w:r>
    </w:p>
    <w:p>
      <w:pPr>
        <w:spacing w:line="480" w:lineRule="exact"/>
        <w:ind w:firstLine="482" w:firstLineChars="200"/>
        <w:rPr>
          <w:rFonts w:ascii="宋体" w:hAnsi="宋体" w:cs="宋体"/>
          <w:b/>
          <w:color w:val="000000"/>
          <w:sz w:val="24"/>
        </w:rPr>
      </w:pPr>
      <w:r>
        <w:rPr>
          <w:rFonts w:hint="eastAsia" w:ascii="宋体" w:hAnsi="宋体" w:cs="宋体"/>
          <w:b/>
          <w:color w:val="0000FF"/>
          <w:sz w:val="24"/>
        </w:rPr>
        <w:t>未通过资质查验的投标文件将</w:t>
      </w:r>
      <w:r>
        <w:rPr>
          <w:rFonts w:hint="eastAsia" w:ascii="宋体" w:hAnsi="宋体" w:cs="宋体"/>
          <w:b/>
          <w:color w:val="000000"/>
          <w:sz w:val="24"/>
        </w:rPr>
        <w:t>不予以接受。</w:t>
      </w:r>
    </w:p>
    <w:p>
      <w:pPr>
        <w:spacing w:line="480" w:lineRule="exact"/>
        <w:ind w:firstLine="482" w:firstLineChars="200"/>
        <w:rPr>
          <w:rFonts w:ascii="宋体" w:hAnsi="宋体" w:cs="宋体"/>
          <w:b/>
          <w:color w:val="000000"/>
          <w:sz w:val="24"/>
        </w:rPr>
      </w:pPr>
      <w:r>
        <w:rPr>
          <w:rFonts w:hint="eastAsia" w:ascii="宋体" w:hAnsi="宋体" w:cs="宋体"/>
          <w:b/>
          <w:color w:val="000000"/>
          <w:sz w:val="24"/>
        </w:rPr>
        <w:t>20.4投标人的法定代表人或被授权人未准时参加开标会议的视为自动弃权。</w:t>
      </w:r>
    </w:p>
    <w:p>
      <w:pPr>
        <w:spacing w:line="500" w:lineRule="exact"/>
        <w:ind w:left="120" w:hanging="120"/>
        <w:jc w:val="center"/>
        <w:rPr>
          <w:rFonts w:ascii="宋体" w:hAnsi="宋体" w:cs="宋体"/>
          <w:b/>
          <w:sz w:val="24"/>
        </w:rPr>
      </w:pPr>
    </w:p>
    <w:p>
      <w:pPr>
        <w:spacing w:line="500" w:lineRule="exact"/>
        <w:ind w:left="120" w:hanging="120"/>
        <w:jc w:val="center"/>
        <w:rPr>
          <w:rFonts w:ascii="宋体" w:hAnsi="宋体" w:cs="宋体"/>
          <w:b/>
          <w:sz w:val="24"/>
        </w:rPr>
      </w:pPr>
      <w:r>
        <w:rPr>
          <w:rFonts w:hint="eastAsia" w:ascii="宋体" w:hAnsi="宋体" w:cs="宋体"/>
          <w:b/>
          <w:sz w:val="24"/>
        </w:rPr>
        <w:t>六、评标、定标</w:t>
      </w:r>
    </w:p>
    <w:p>
      <w:pPr>
        <w:spacing w:line="500" w:lineRule="exact"/>
        <w:ind w:firstLine="482" w:firstLineChars="200"/>
        <w:rPr>
          <w:rFonts w:ascii="宋体" w:hAnsi="宋体" w:cs="宋体"/>
          <w:b/>
          <w:sz w:val="24"/>
        </w:rPr>
      </w:pPr>
      <w:r>
        <w:rPr>
          <w:rFonts w:hint="eastAsia" w:ascii="宋体" w:hAnsi="宋体" w:cs="宋体"/>
          <w:b/>
          <w:sz w:val="24"/>
        </w:rPr>
        <w:t>21、评标</w:t>
      </w:r>
    </w:p>
    <w:p>
      <w:pPr>
        <w:spacing w:line="500" w:lineRule="exact"/>
        <w:ind w:firstLine="480" w:firstLineChars="200"/>
        <w:rPr>
          <w:rFonts w:ascii="宋体" w:hAnsi="宋体" w:cs="宋体"/>
          <w:sz w:val="24"/>
        </w:rPr>
      </w:pPr>
      <w:r>
        <w:rPr>
          <w:rFonts w:hint="eastAsia" w:ascii="宋体" w:hAnsi="宋体" w:cs="宋体"/>
          <w:sz w:val="24"/>
        </w:rPr>
        <w:t xml:space="preserve">21.1  </w:t>
      </w:r>
      <w:r>
        <w:rPr>
          <w:rFonts w:hint="eastAsia" w:ascii="宋体" w:hAnsi="宋体" w:cs="宋体"/>
          <w:b/>
          <w:sz w:val="24"/>
        </w:rPr>
        <w:t xml:space="preserve">评标委员会或评标小组 </w:t>
      </w:r>
    </w:p>
    <w:p>
      <w:pPr>
        <w:spacing w:line="500" w:lineRule="exact"/>
        <w:ind w:left="120" w:hanging="120"/>
        <w:rPr>
          <w:rFonts w:ascii="宋体" w:hAnsi="宋体" w:cs="宋体"/>
          <w:sz w:val="24"/>
        </w:rPr>
      </w:pPr>
      <w:r>
        <w:rPr>
          <w:rFonts w:hint="eastAsia" w:ascii="宋体" w:hAnsi="宋体" w:cs="宋体"/>
          <w:sz w:val="24"/>
        </w:rPr>
        <w:t xml:space="preserve">    21.1.1评标委员会或评标小组（以下简称评标委员会）的评标工作由招标单位负责组织，具体评标事务由评标委员会负责，并独立履行其法规规定的职责。</w:t>
      </w:r>
    </w:p>
    <w:p>
      <w:pPr>
        <w:spacing w:line="500" w:lineRule="exact"/>
        <w:ind w:left="120" w:hanging="120"/>
        <w:rPr>
          <w:rFonts w:ascii="宋体" w:hAnsi="宋体" w:cs="宋体"/>
          <w:sz w:val="24"/>
        </w:rPr>
      </w:pPr>
      <w:r>
        <w:rPr>
          <w:rFonts w:hint="eastAsia" w:ascii="宋体" w:hAnsi="宋体" w:cs="宋体"/>
          <w:sz w:val="24"/>
        </w:rPr>
        <w:t xml:space="preserve">    21.1.2评标委员会由招标人和专家库中熟悉相关技术的专家组成，成员人数为五人以上的单数，其中熟悉相关技术方面的专家不得少于成员总数的三之二。评标委员会设负责人的，评标委员会负责人由评标委员会推举产生或者由招标人确定。评标委员会负责人与评标委员会的其他成员有同等的表决权。</w:t>
      </w:r>
    </w:p>
    <w:p>
      <w:pPr>
        <w:spacing w:line="500" w:lineRule="exact"/>
        <w:ind w:left="120" w:hanging="120"/>
        <w:rPr>
          <w:rFonts w:ascii="宋体" w:hAnsi="宋体" w:cs="宋体"/>
          <w:sz w:val="24"/>
        </w:rPr>
      </w:pPr>
      <w:r>
        <w:rPr>
          <w:rFonts w:hint="eastAsia" w:ascii="宋体" w:hAnsi="宋体" w:cs="宋体"/>
          <w:sz w:val="24"/>
        </w:rPr>
        <w:t xml:space="preserve">    21.1.3  评标委员会或评标小组负责具体的评标事务，并独立履行以下职责：</w:t>
      </w:r>
    </w:p>
    <w:p>
      <w:pPr>
        <w:spacing w:line="500" w:lineRule="exact"/>
        <w:ind w:left="120" w:hanging="120"/>
        <w:rPr>
          <w:rFonts w:ascii="宋体" w:hAnsi="宋体" w:cs="宋体"/>
          <w:sz w:val="24"/>
        </w:rPr>
      </w:pPr>
      <w:r>
        <w:rPr>
          <w:rFonts w:hint="eastAsia" w:ascii="宋体" w:hAnsi="宋体" w:cs="宋体"/>
          <w:sz w:val="24"/>
        </w:rPr>
        <w:t xml:space="preserve">    21.1.3.1 审查投标文件是否符合招标文件的要求，并作出评价；</w:t>
      </w:r>
    </w:p>
    <w:p>
      <w:pPr>
        <w:spacing w:line="500" w:lineRule="exact"/>
        <w:ind w:left="120" w:hanging="120"/>
        <w:rPr>
          <w:rFonts w:ascii="宋体" w:hAnsi="宋体" w:cs="宋体"/>
          <w:sz w:val="24"/>
        </w:rPr>
      </w:pPr>
      <w:r>
        <w:rPr>
          <w:rFonts w:hint="eastAsia" w:ascii="宋体" w:hAnsi="宋体" w:cs="宋体"/>
          <w:sz w:val="24"/>
        </w:rPr>
        <w:t xml:space="preserve">    21.1.3.2 可以要求投标供应商对投标文件有关事项作出解释或澄清；</w:t>
      </w:r>
    </w:p>
    <w:p>
      <w:pPr>
        <w:spacing w:line="500" w:lineRule="exact"/>
        <w:ind w:left="120" w:hanging="120"/>
        <w:rPr>
          <w:rFonts w:ascii="宋体" w:hAnsi="宋体" w:cs="宋体"/>
          <w:sz w:val="24"/>
        </w:rPr>
      </w:pPr>
      <w:r>
        <w:rPr>
          <w:rFonts w:hint="eastAsia" w:ascii="宋体" w:hAnsi="宋体" w:cs="宋体"/>
          <w:sz w:val="24"/>
        </w:rPr>
        <w:t xml:space="preserve">    21.1.3.3 推荐中标候选供应商名单，或者受招标人委托按照事先确定的办法直接确定中标人；</w:t>
      </w:r>
    </w:p>
    <w:p>
      <w:pPr>
        <w:spacing w:line="500" w:lineRule="exact"/>
        <w:ind w:left="120" w:hanging="120"/>
        <w:rPr>
          <w:rFonts w:ascii="宋体" w:hAnsi="宋体" w:cs="宋体"/>
          <w:sz w:val="24"/>
        </w:rPr>
      </w:pPr>
      <w:r>
        <w:rPr>
          <w:rFonts w:hint="eastAsia" w:ascii="宋体" w:hAnsi="宋体" w:cs="宋体"/>
          <w:sz w:val="24"/>
        </w:rPr>
        <w:t xml:space="preserve">    21.1.3.4 向招标单位或者有关部门报告非法干预评标工作的行为。</w:t>
      </w:r>
    </w:p>
    <w:p>
      <w:pPr>
        <w:spacing w:line="500" w:lineRule="exact"/>
        <w:ind w:left="120" w:hanging="120"/>
        <w:rPr>
          <w:rFonts w:ascii="宋体" w:hAnsi="宋体" w:cs="宋体"/>
          <w:sz w:val="24"/>
        </w:rPr>
      </w:pPr>
      <w:r>
        <w:rPr>
          <w:rFonts w:hint="eastAsia" w:ascii="宋体" w:hAnsi="宋体" w:cs="宋体"/>
          <w:sz w:val="24"/>
        </w:rPr>
        <w:t xml:space="preserve">    21.1.4 评标委员会成员应当履行下列义务：</w:t>
      </w:r>
    </w:p>
    <w:p>
      <w:pPr>
        <w:spacing w:line="500" w:lineRule="exact"/>
        <w:ind w:left="120" w:hanging="120"/>
        <w:rPr>
          <w:rFonts w:ascii="宋体" w:hAnsi="宋体" w:cs="宋体"/>
          <w:sz w:val="24"/>
        </w:rPr>
      </w:pPr>
      <w:r>
        <w:rPr>
          <w:rFonts w:hint="eastAsia" w:ascii="宋体" w:hAnsi="宋体" w:cs="宋体"/>
          <w:sz w:val="24"/>
        </w:rPr>
        <w:t xml:space="preserve">    21.1.4.1 遵纪守法，客观、公正、廉洁地履行职责；</w:t>
      </w:r>
    </w:p>
    <w:p>
      <w:pPr>
        <w:spacing w:line="500" w:lineRule="exact"/>
        <w:ind w:left="120" w:hanging="120"/>
        <w:rPr>
          <w:rFonts w:ascii="宋体" w:hAnsi="宋体" w:cs="宋体"/>
          <w:sz w:val="24"/>
        </w:rPr>
      </w:pPr>
      <w:r>
        <w:rPr>
          <w:rFonts w:hint="eastAsia" w:ascii="宋体" w:hAnsi="宋体" w:cs="宋体"/>
          <w:sz w:val="24"/>
        </w:rPr>
        <w:t xml:space="preserve">    21.1.4 .2 按照招标文件规定的评标办法和评标标准进行评标，对评审意见承担个人责任；</w:t>
      </w:r>
    </w:p>
    <w:p>
      <w:pPr>
        <w:spacing w:line="500" w:lineRule="exact"/>
        <w:ind w:left="120" w:hanging="120"/>
        <w:rPr>
          <w:rFonts w:ascii="宋体" w:hAnsi="宋体" w:cs="宋体"/>
          <w:sz w:val="24"/>
        </w:rPr>
      </w:pPr>
      <w:r>
        <w:rPr>
          <w:rFonts w:hint="eastAsia" w:ascii="宋体" w:hAnsi="宋体" w:cs="宋体"/>
          <w:sz w:val="24"/>
        </w:rPr>
        <w:t xml:space="preserve">    21.1.4 .3 对评标过程和结果，以及投标人的商业秘密保密；</w:t>
      </w:r>
    </w:p>
    <w:p>
      <w:pPr>
        <w:spacing w:line="500" w:lineRule="exact"/>
        <w:ind w:left="120" w:hanging="120"/>
        <w:rPr>
          <w:rFonts w:ascii="宋体" w:hAnsi="宋体" w:cs="宋体"/>
          <w:sz w:val="24"/>
        </w:rPr>
      </w:pPr>
      <w:r>
        <w:rPr>
          <w:rFonts w:hint="eastAsia" w:ascii="宋体" w:hAnsi="宋体" w:cs="宋体"/>
          <w:sz w:val="24"/>
        </w:rPr>
        <w:t xml:space="preserve">    21.1.4 .4 参与评标报告的起草；</w:t>
      </w:r>
    </w:p>
    <w:p>
      <w:pPr>
        <w:spacing w:line="500" w:lineRule="exact"/>
        <w:ind w:left="120" w:hanging="120"/>
        <w:rPr>
          <w:rFonts w:ascii="宋体" w:hAnsi="宋体" w:cs="宋体"/>
          <w:sz w:val="24"/>
        </w:rPr>
      </w:pPr>
      <w:r>
        <w:rPr>
          <w:rFonts w:hint="eastAsia" w:ascii="宋体" w:hAnsi="宋体" w:cs="宋体"/>
          <w:sz w:val="24"/>
        </w:rPr>
        <w:t xml:space="preserve">    21.1.4 .5 配合财政部门的投诉处理工作；</w:t>
      </w:r>
    </w:p>
    <w:p>
      <w:pPr>
        <w:spacing w:line="500" w:lineRule="exact"/>
        <w:ind w:left="120" w:hanging="120"/>
        <w:rPr>
          <w:rFonts w:ascii="宋体" w:hAnsi="宋体" w:cs="宋体"/>
          <w:sz w:val="24"/>
        </w:rPr>
      </w:pPr>
      <w:r>
        <w:rPr>
          <w:rFonts w:hint="eastAsia" w:ascii="宋体" w:hAnsi="宋体" w:cs="宋体"/>
          <w:sz w:val="24"/>
        </w:rPr>
        <w:t xml:space="preserve">    21.1.4 .6 配合招标单位答复投标供应商提出的质疑。</w:t>
      </w:r>
    </w:p>
    <w:p>
      <w:pPr>
        <w:spacing w:line="500" w:lineRule="exact"/>
        <w:ind w:firstLine="480" w:firstLineChars="200"/>
        <w:rPr>
          <w:rFonts w:ascii="宋体" w:hAnsi="宋体" w:cs="宋体"/>
          <w:b/>
          <w:sz w:val="24"/>
        </w:rPr>
      </w:pPr>
      <w:r>
        <w:rPr>
          <w:rFonts w:hint="eastAsia" w:ascii="宋体" w:hAnsi="宋体" w:cs="宋体"/>
          <w:sz w:val="24"/>
        </w:rPr>
        <w:t>21.2按国家计委等七部委颁发的《评标委员会和评标方法暂行规定》，结合本工程特点，</w:t>
      </w:r>
      <w:r>
        <w:rPr>
          <w:rFonts w:hint="eastAsia" w:ascii="宋体" w:hAnsi="宋体" w:cs="宋体"/>
          <w:b/>
          <w:sz w:val="24"/>
        </w:rPr>
        <w:t>本项目采用综合评分法，最低报价不是中标的唯一条件，综合评分因素的主要因素为实施方案、价格、人员、财务状况、信誉、业绩、服务以及对招标文件的响应程度等。每一投标人的最终得分为所有评委评分的算数平均值。（总分100分：其中商务部分和方案部分占</w:t>
      </w:r>
      <w:r>
        <w:rPr>
          <w:rFonts w:hint="eastAsia" w:ascii="宋体" w:hAnsi="宋体" w:cs="宋体"/>
          <w:b/>
          <w:sz w:val="24"/>
          <w:lang w:val="en-US" w:eastAsia="zh-CN"/>
        </w:rPr>
        <w:t>70</w:t>
      </w:r>
      <w:r>
        <w:rPr>
          <w:rFonts w:hint="eastAsia" w:ascii="宋体" w:hAnsi="宋体" w:cs="宋体"/>
          <w:b/>
          <w:sz w:val="24"/>
        </w:rPr>
        <w:t>分，投标报价占</w:t>
      </w:r>
      <w:r>
        <w:rPr>
          <w:rFonts w:hint="eastAsia" w:ascii="宋体" w:hAnsi="宋体" w:cs="宋体"/>
          <w:b/>
          <w:sz w:val="24"/>
          <w:lang w:val="en-US" w:eastAsia="zh-CN"/>
        </w:rPr>
        <w:t>30</w:t>
      </w:r>
      <w:r>
        <w:rPr>
          <w:rFonts w:hint="eastAsia" w:ascii="宋体" w:hAnsi="宋体" w:cs="宋体"/>
          <w:b/>
          <w:sz w:val="24"/>
        </w:rPr>
        <w:t xml:space="preserve">分），最终合计得分【为所有评委评分总和的算术平均值】，并按得分由高到低顺序排列，选择前三名投标人依次推荐为第一名、第二名和第三名中标候选人推荐中标候选人。当评标人得分相等时，以评标价较低者优先。  </w:t>
      </w:r>
    </w:p>
    <w:p>
      <w:pPr>
        <w:spacing w:line="500" w:lineRule="exact"/>
        <w:ind w:firstLine="480" w:firstLineChars="200"/>
        <w:rPr>
          <w:rFonts w:ascii="宋体" w:hAnsi="宋体" w:cs="宋体"/>
          <w:sz w:val="24"/>
        </w:rPr>
      </w:pPr>
      <w:r>
        <w:rPr>
          <w:rFonts w:hint="eastAsia" w:ascii="宋体" w:hAnsi="宋体" w:cs="宋体"/>
          <w:sz w:val="24"/>
        </w:rPr>
        <w:t>21.3 评标的依据为招标文件和投标文件。</w:t>
      </w:r>
    </w:p>
    <w:p>
      <w:pPr>
        <w:spacing w:line="500" w:lineRule="exact"/>
        <w:ind w:firstLine="480" w:firstLineChars="200"/>
        <w:rPr>
          <w:rFonts w:ascii="宋体" w:hAnsi="宋体" w:cs="宋体"/>
          <w:sz w:val="24"/>
        </w:rPr>
      </w:pPr>
      <w:r>
        <w:rPr>
          <w:rFonts w:hint="eastAsia" w:ascii="宋体" w:hAnsi="宋体" w:cs="宋体"/>
          <w:sz w:val="24"/>
        </w:rPr>
        <w:t>21.4评标过程的保密性。开标后，直到授予投标人合同止，凡是属于审查、澄清、评价和比较的有关资料以及授标建议等均不得向投标人或其他无关的人员透露。</w:t>
      </w:r>
    </w:p>
    <w:p>
      <w:pPr>
        <w:spacing w:line="500" w:lineRule="exact"/>
        <w:ind w:firstLine="480" w:firstLineChars="200"/>
        <w:rPr>
          <w:rFonts w:ascii="宋体" w:hAnsi="宋体" w:cs="宋体"/>
          <w:sz w:val="24"/>
        </w:rPr>
      </w:pPr>
      <w:r>
        <w:rPr>
          <w:rFonts w:hint="eastAsia" w:ascii="宋体" w:hAnsi="宋体" w:cs="宋体"/>
          <w:sz w:val="24"/>
        </w:rPr>
        <w:t>21.5 投标人在评标过程中所进行的力图影响评标结果、有悖于招标规则的活动，可能导致取消其中标资格。</w:t>
      </w:r>
    </w:p>
    <w:p>
      <w:pPr>
        <w:spacing w:line="500" w:lineRule="exact"/>
        <w:ind w:firstLine="480" w:firstLineChars="200"/>
        <w:rPr>
          <w:rFonts w:hint="eastAsia" w:ascii="宋体" w:hAnsi="宋体" w:cs="宋体"/>
          <w:sz w:val="24"/>
        </w:rPr>
      </w:pPr>
      <w:r>
        <w:rPr>
          <w:rFonts w:hint="eastAsia" w:ascii="宋体" w:hAnsi="宋体" w:cs="宋体"/>
          <w:sz w:val="24"/>
        </w:rPr>
        <w:t>21.6 与招标文件有重大偏离的投标文件将被拒绝。且此重大偏离在开标后不许修改。</w:t>
      </w:r>
    </w:p>
    <w:p>
      <w:pPr>
        <w:spacing w:line="500" w:lineRule="exact"/>
        <w:ind w:firstLine="480" w:firstLineChars="200"/>
        <w:rPr>
          <w:rFonts w:hint="eastAsia" w:ascii="宋体" w:hAnsi="宋体" w:cs="宋体"/>
          <w:sz w:val="24"/>
        </w:rPr>
      </w:pPr>
      <w:r>
        <w:rPr>
          <w:rFonts w:hint="eastAsia" w:ascii="宋体" w:hAnsi="宋体" w:cs="宋体"/>
          <w:sz w:val="24"/>
        </w:rPr>
        <w:t>21.7 根据国家计委等七部委颁发的《评标委员会和评标方法暂行规定》以下为重大偏离：</w:t>
      </w:r>
    </w:p>
    <w:p>
      <w:pPr>
        <w:spacing w:line="500" w:lineRule="exact"/>
        <w:ind w:firstLine="480" w:firstLineChars="200"/>
        <w:rPr>
          <w:rFonts w:ascii="宋体" w:hAnsi="宋体" w:cs="宋体"/>
          <w:color w:val="auto"/>
          <w:sz w:val="24"/>
        </w:rPr>
      </w:pPr>
      <w:r>
        <w:rPr>
          <w:rFonts w:hint="eastAsia" w:ascii="宋体" w:hAnsi="宋体" w:cs="宋体"/>
          <w:color w:val="auto"/>
          <w:sz w:val="24"/>
        </w:rPr>
        <w:t>（一）</w:t>
      </w:r>
      <w:r>
        <w:rPr>
          <w:rFonts w:hint="eastAsia" w:ascii="宋体" w:hAnsi="宋体" w:cs="宋体"/>
          <w:color w:val="auto"/>
          <w:sz w:val="24"/>
          <w:u w:val="single"/>
        </w:rPr>
        <w:t>投标保证金的缴纳主体与投标人不一致的，</w:t>
      </w:r>
      <w:r>
        <w:rPr>
          <w:rFonts w:hint="eastAsia" w:ascii="宋体" w:hAnsi="宋体" w:cs="宋体"/>
          <w:color w:val="auto"/>
          <w:sz w:val="24"/>
        </w:rPr>
        <w:t>没有按照招标文件要求提供投标担保，或者所提供的投标担保有瑕疵的；</w:t>
      </w:r>
    </w:p>
    <w:p>
      <w:pPr>
        <w:spacing w:line="500" w:lineRule="exact"/>
        <w:ind w:firstLine="480" w:firstLineChars="200"/>
        <w:rPr>
          <w:rFonts w:ascii="宋体" w:hAnsi="宋体" w:cs="宋体"/>
          <w:color w:val="auto"/>
          <w:sz w:val="24"/>
        </w:rPr>
      </w:pPr>
      <w:r>
        <w:rPr>
          <w:rFonts w:hint="eastAsia" w:ascii="宋体" w:hAnsi="宋体" w:cs="宋体"/>
          <w:color w:val="auto"/>
          <w:sz w:val="24"/>
        </w:rPr>
        <w:t>（二）投标文件没有投标人法定代表人或其授权代表签字（章）和加盖投标单位公章的；</w:t>
      </w:r>
    </w:p>
    <w:p>
      <w:pPr>
        <w:spacing w:line="500" w:lineRule="exact"/>
        <w:ind w:firstLine="480" w:firstLineChars="200"/>
        <w:rPr>
          <w:rFonts w:ascii="宋体" w:hAnsi="宋体" w:cs="宋体"/>
          <w:color w:val="auto"/>
          <w:sz w:val="24"/>
        </w:rPr>
      </w:pPr>
      <w:r>
        <w:rPr>
          <w:rFonts w:hint="eastAsia" w:ascii="宋体" w:hAnsi="宋体" w:cs="宋体"/>
          <w:color w:val="auto"/>
          <w:sz w:val="24"/>
        </w:rPr>
        <w:t>（三）投标文件记载的招标项目完成期限超过招标文件规定的完成期限；</w:t>
      </w:r>
    </w:p>
    <w:p>
      <w:pPr>
        <w:spacing w:line="500" w:lineRule="exact"/>
        <w:ind w:firstLine="480" w:firstLineChars="200"/>
        <w:rPr>
          <w:rFonts w:ascii="宋体" w:hAnsi="宋体" w:cs="宋体"/>
          <w:color w:val="auto"/>
          <w:sz w:val="24"/>
        </w:rPr>
      </w:pPr>
      <w:r>
        <w:rPr>
          <w:rFonts w:hint="eastAsia" w:ascii="宋体" w:hAnsi="宋体" w:cs="宋体"/>
          <w:color w:val="auto"/>
          <w:sz w:val="24"/>
        </w:rPr>
        <w:t>（四）商务条款有偏离情况的；</w:t>
      </w:r>
    </w:p>
    <w:p>
      <w:pPr>
        <w:spacing w:line="500" w:lineRule="exact"/>
        <w:ind w:firstLine="480" w:firstLineChars="200"/>
        <w:rPr>
          <w:rFonts w:ascii="宋体" w:hAnsi="宋体" w:cs="宋体"/>
          <w:color w:val="auto"/>
          <w:sz w:val="24"/>
        </w:rPr>
      </w:pPr>
      <w:r>
        <w:rPr>
          <w:rFonts w:hint="eastAsia" w:ascii="宋体" w:hAnsi="宋体" w:cs="宋体"/>
          <w:color w:val="auto"/>
          <w:sz w:val="24"/>
        </w:rPr>
        <w:t>（五）投标附有招标人不能接受的条件；</w:t>
      </w:r>
    </w:p>
    <w:p>
      <w:pPr>
        <w:spacing w:line="50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（六）不符合招标文件中规定的其他实质性要求</w:t>
      </w:r>
      <w:r>
        <w:rPr>
          <w:rFonts w:hint="eastAsia" w:ascii="宋体" w:hAnsi="宋体" w:cs="宋体"/>
          <w:color w:val="auto"/>
          <w:sz w:val="24"/>
          <w:lang w:eastAsia="zh-CN"/>
        </w:rPr>
        <w:t>；</w:t>
      </w:r>
    </w:p>
    <w:p>
      <w:pPr>
        <w:spacing w:line="50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（七)</w:t>
      </w:r>
      <w:r>
        <w:rPr>
          <w:rFonts w:hint="eastAsia" w:ascii="宋体" w:hAnsi="宋体" w:cs="宋体"/>
          <w:color w:val="auto"/>
          <w:sz w:val="24"/>
          <w:lang w:val="en-US" w:eastAsia="zh-CN"/>
        </w:rPr>
        <w:t xml:space="preserve"> </w:t>
      </w:r>
      <w:r>
        <w:rPr>
          <w:rFonts w:hint="eastAsia" w:ascii="宋体" w:hAnsi="宋体" w:cs="宋体"/>
          <w:color w:val="auto"/>
          <w:sz w:val="24"/>
        </w:rPr>
        <w:t>投标报价不符合招标文件规定的要求</w:t>
      </w:r>
      <w:r>
        <w:rPr>
          <w:rFonts w:hint="eastAsia" w:ascii="宋体" w:hAnsi="宋体" w:cs="宋体"/>
          <w:color w:val="auto"/>
          <w:sz w:val="24"/>
          <w:lang w:eastAsia="zh-CN"/>
        </w:rPr>
        <w:t>；</w:t>
      </w:r>
    </w:p>
    <w:p>
      <w:pPr>
        <w:spacing w:line="500" w:lineRule="exact"/>
        <w:ind w:firstLine="480" w:firstLineChars="200"/>
        <w:rPr>
          <w:rFonts w:hint="default" w:ascii="宋体" w:hAnsi="宋体" w:cs="宋体"/>
          <w:color w:val="auto"/>
          <w:sz w:val="24"/>
          <w:lang w:val="en-US"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八）法律法规规定的其他情形。</w:t>
      </w:r>
    </w:p>
    <w:p>
      <w:pPr>
        <w:spacing w:line="500" w:lineRule="exact"/>
        <w:ind w:firstLine="480" w:firstLineChars="200"/>
        <w:rPr>
          <w:rFonts w:ascii="宋体" w:hAnsi="宋体" w:cs="宋体"/>
          <w:sz w:val="24"/>
        </w:rPr>
      </w:pPr>
      <w:r>
        <w:rPr>
          <w:rFonts w:hint="eastAsia" w:ascii="宋体" w:hAnsi="宋体" w:cs="宋体"/>
          <w:sz w:val="24"/>
        </w:rPr>
        <w:t>投标文件有上述情形之一的，视为非实质性响应招标，并按规定作废标处理。招标文件对重大偏差另有规定的，从其规定。</w:t>
      </w:r>
    </w:p>
    <w:p>
      <w:pPr>
        <w:spacing w:line="500" w:lineRule="exact"/>
        <w:ind w:firstLine="480" w:firstLineChars="200"/>
        <w:rPr>
          <w:rFonts w:ascii="宋体" w:hAnsi="宋体" w:cs="宋体"/>
          <w:sz w:val="24"/>
        </w:rPr>
      </w:pPr>
      <w:r>
        <w:rPr>
          <w:rFonts w:hint="eastAsia" w:ascii="宋体" w:hAnsi="宋体" w:cs="宋体"/>
          <w:sz w:val="24"/>
        </w:rPr>
        <w:t>评标委员会应当审查每一投标文件是否对招标文件提出的所有实质性要求和条件作出响应。未能在实质上响应招标的投标，将作废标处理。</w:t>
      </w:r>
    </w:p>
    <w:p>
      <w:pPr>
        <w:spacing w:line="500" w:lineRule="exact"/>
        <w:ind w:firstLine="482" w:firstLineChars="200"/>
        <w:rPr>
          <w:rFonts w:ascii="宋体" w:hAnsi="宋体" w:cs="宋体"/>
          <w:b/>
          <w:sz w:val="24"/>
        </w:rPr>
      </w:pPr>
      <w:r>
        <w:rPr>
          <w:rFonts w:hint="eastAsia" w:ascii="宋体" w:hAnsi="宋体" w:cs="宋体"/>
          <w:b/>
          <w:sz w:val="24"/>
        </w:rPr>
        <w:t>22、对投标文件的初步审查和响应性确定</w:t>
      </w:r>
    </w:p>
    <w:p>
      <w:pPr>
        <w:spacing w:line="500" w:lineRule="exact"/>
        <w:ind w:firstLine="480" w:firstLineChars="200"/>
        <w:rPr>
          <w:rFonts w:ascii="宋体" w:hAnsi="宋体" w:cs="宋体"/>
          <w:color w:val="auto"/>
          <w:sz w:val="24"/>
        </w:rPr>
      </w:pPr>
      <w:r>
        <w:rPr>
          <w:rFonts w:hint="eastAsia" w:ascii="宋体" w:hAnsi="宋体" w:cs="宋体"/>
          <w:sz w:val="24"/>
        </w:rPr>
        <w:t>22.1 开标后招标人将审查投标文件</w:t>
      </w:r>
      <w:r>
        <w:rPr>
          <w:rFonts w:hint="eastAsia" w:ascii="宋体" w:hAnsi="宋体" w:cs="宋体"/>
          <w:color w:val="auto"/>
          <w:sz w:val="24"/>
        </w:rPr>
        <w:t>的完整性、准确性以及保证金提交、文件签署情况。在审查时，投标报价大写与数字有出入，以大写金额为准。若投标人拒绝接受上述修正，其投标将可能被拒绝。</w:t>
      </w:r>
    </w:p>
    <w:p>
      <w:pPr>
        <w:spacing w:line="500" w:lineRule="exact"/>
        <w:ind w:firstLine="480" w:firstLineChars="200"/>
        <w:rPr>
          <w:rFonts w:ascii="宋体" w:hAnsi="宋体" w:cs="宋体"/>
          <w:sz w:val="24"/>
        </w:rPr>
      </w:pPr>
      <w:r>
        <w:rPr>
          <w:rFonts w:hint="eastAsia" w:ascii="宋体" w:hAnsi="宋体" w:cs="宋体"/>
          <w:sz w:val="24"/>
        </w:rPr>
        <w:t>22.2 在对投标文件进行详细评估之前，评标委员会将审查每一份投标文件是否对招标文件的要求作出了实质性的响应。实质性响应的投标文件应该是与招标文件的全部条款、条件和技术规格相符，而没有重大偏离。</w:t>
      </w:r>
    </w:p>
    <w:p>
      <w:pPr>
        <w:spacing w:line="500" w:lineRule="exact"/>
        <w:ind w:firstLine="480" w:firstLineChars="200"/>
        <w:rPr>
          <w:rFonts w:ascii="宋体" w:hAnsi="宋体" w:cs="宋体"/>
          <w:sz w:val="24"/>
        </w:rPr>
      </w:pPr>
      <w:r>
        <w:rPr>
          <w:rFonts w:hint="eastAsia" w:ascii="宋体" w:hAnsi="宋体" w:cs="宋体"/>
          <w:sz w:val="24"/>
        </w:rPr>
        <w:t>22.3招标人判断投标文件的响应性是基于投标文件本身而不靠外部证据。</w:t>
      </w:r>
    </w:p>
    <w:p>
      <w:pPr>
        <w:spacing w:line="500" w:lineRule="exact"/>
        <w:ind w:firstLine="480" w:firstLineChars="200"/>
        <w:rPr>
          <w:rFonts w:ascii="宋体" w:hAnsi="宋体" w:cs="宋体"/>
          <w:sz w:val="24"/>
        </w:rPr>
      </w:pPr>
      <w:r>
        <w:rPr>
          <w:rFonts w:hint="eastAsia" w:ascii="宋体" w:hAnsi="宋体" w:cs="宋体"/>
          <w:sz w:val="24"/>
        </w:rPr>
        <w:t>22.4 招标人将拒绝被定为非响应性的投标，投标人不能通过修正或撤消不符之处而使其投标成为响应性投标。</w:t>
      </w:r>
    </w:p>
    <w:p>
      <w:pPr>
        <w:keepNext w:val="0"/>
        <w:keepLines w:val="0"/>
        <w:pageBreakBefore w:val="0"/>
        <w:widowControl w:val="0"/>
        <w:kinsoku/>
        <w:wordWrap/>
        <w:overflowPunct/>
        <w:topLinePunct w:val="0"/>
        <w:autoSpaceDE/>
        <w:autoSpaceDN/>
        <w:bidi w:val="0"/>
        <w:adjustRightInd/>
        <w:snapToGrid/>
        <w:ind w:left="0" w:right="0"/>
        <w:jc w:val="left"/>
        <w:textAlignment w:val="auto"/>
        <w:rPr>
          <w:rFonts w:hint="eastAsia" w:ascii="宋体" w:hAnsi="宋体" w:cs="宋体"/>
          <w:b/>
          <w:bCs/>
          <w:sz w:val="24"/>
        </w:rPr>
      </w:pPr>
      <w:r>
        <w:rPr>
          <w:rFonts w:hint="eastAsia" w:ascii="宋体" w:hAnsi="宋体" w:cs="宋体"/>
          <w:b/>
          <w:bCs/>
          <w:sz w:val="24"/>
        </w:rPr>
        <w:t>22.5投标评审标准：</w:t>
      </w:r>
    </w:p>
    <w:tbl>
      <w:tblPr>
        <w:tblStyle w:val="70"/>
        <w:tblpPr w:leftFromText="180" w:rightFromText="180" w:vertAnchor="text" w:horzAnchor="page" w:tblpX="1229" w:tblpY="474"/>
        <w:tblOverlap w:val="never"/>
        <w:tblW w:w="9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886"/>
        <w:gridCol w:w="6218"/>
        <w:gridCol w:w="791"/>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778"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w:t>
            </w: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6218"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评审内容</w:t>
            </w:r>
          </w:p>
        </w:tc>
        <w:tc>
          <w:tcPr>
            <w:tcW w:w="1882" w:type="dxa"/>
            <w:gridSpan w:val="2"/>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8" w:type="dxa"/>
            <w:vMerge w:val="restart"/>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资格审查</w:t>
            </w:r>
          </w:p>
        </w:tc>
        <w:tc>
          <w:tcPr>
            <w:tcW w:w="886" w:type="dxa"/>
            <w:vAlign w:val="center"/>
          </w:tcPr>
          <w:p>
            <w:pPr>
              <w:autoSpaceDE w:val="0"/>
              <w:autoSpaceDN w:val="0"/>
              <w:spacing w:line="240" w:lineRule="auto"/>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w:t>
            </w:r>
            <w:r>
              <w:rPr>
                <w:rFonts w:hint="eastAsia" w:ascii="宋体" w:hAnsi="宋体" w:cs="宋体"/>
                <w:color w:val="000000" w:themeColor="text1"/>
                <w:kern w:val="0"/>
                <w:sz w:val="24"/>
                <w:szCs w:val="24"/>
                <w:lang w:val="en-US" w:eastAsia="zh-CN"/>
                <w14:textFill>
                  <w14:solidFill>
                    <w14:schemeClr w14:val="tx1"/>
                  </w14:solidFill>
                </w14:textFill>
              </w:rPr>
              <w:t>提供有效的营业执照、税务登记证、组织机构代码证（或</w:t>
            </w:r>
            <w:r>
              <w:rPr>
                <w:rFonts w:hint="eastAsia" w:ascii="宋体" w:hAnsi="宋体" w:cs="宋体"/>
                <w:color w:val="000000" w:themeColor="text1"/>
                <w:kern w:val="0"/>
                <w:sz w:val="24"/>
                <w:szCs w:val="24"/>
                <w14:textFill>
                  <w14:solidFill>
                    <w14:schemeClr w14:val="tx1"/>
                  </w14:solidFill>
                </w14:textFill>
              </w:rPr>
              <w:t>三证合一营业执照</w:t>
            </w:r>
            <w:r>
              <w:rPr>
                <w:rFonts w:hint="eastAsia" w:ascii="宋体" w:hAnsi="宋体" w:cs="宋体"/>
                <w:color w:val="000000" w:themeColor="text1"/>
                <w:kern w:val="0"/>
                <w:sz w:val="24"/>
                <w:szCs w:val="24"/>
                <w:lang w:eastAsia="zh-CN"/>
                <w14:textFill>
                  <w14:solidFill>
                    <w14:schemeClr w14:val="tx1"/>
                  </w14:solidFill>
                </w14:textFill>
              </w:rPr>
              <w:t>）；</w:t>
            </w:r>
          </w:p>
        </w:tc>
        <w:tc>
          <w:tcPr>
            <w:tcW w:w="791"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通过</w:t>
            </w:r>
          </w:p>
        </w:tc>
        <w:tc>
          <w:tcPr>
            <w:tcW w:w="1091"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6218" w:type="dxa"/>
            <w:vAlign w:val="center"/>
          </w:tcPr>
          <w:p>
            <w:pPr>
              <w:widowControl/>
              <w:spacing w:line="240" w:lineRule="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w:t>
            </w:r>
            <w:r>
              <w:rPr>
                <w:rFonts w:hint="eastAsia" w:ascii="宋体" w:hAnsi="宋体" w:cs="宋体"/>
                <w:color w:val="000000" w:themeColor="text1"/>
                <w:kern w:val="0"/>
                <w:sz w:val="24"/>
                <w:szCs w:val="24"/>
                <w:lang w:val="en-US" w:eastAsia="zh-CN"/>
                <w14:textFill>
                  <w14:solidFill>
                    <w14:schemeClr w14:val="tx1"/>
                  </w14:solidFill>
                </w14:textFill>
              </w:rPr>
              <w:t>提供建设工程质量检测机构资质证书（须包含主体结构工程检测等专项检测）</w:t>
            </w:r>
            <w:r>
              <w:rPr>
                <w:rFonts w:hint="eastAsia" w:ascii="宋体" w:hAnsi="宋体" w:cs="宋体"/>
                <w:color w:val="000000" w:themeColor="text1"/>
                <w:kern w:val="0"/>
                <w:sz w:val="24"/>
                <w:szCs w:val="24"/>
                <w:lang w:eastAsia="zh-CN"/>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6218" w:type="dxa"/>
            <w:vAlign w:val="center"/>
          </w:tcPr>
          <w:p>
            <w:pPr>
              <w:widowControl/>
              <w:spacing w:line="24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是否按规定提交投标保证金的；</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restart"/>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符合《政府采购法》第二十二条规定的条件</w:t>
            </w:r>
          </w:p>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（一）具有独立承担民事责任的能力；</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（二）具有良好的商业信誉和健全的</w:t>
            </w:r>
            <w:r>
              <w:rPr>
                <w:sz w:val="24"/>
                <w:szCs w:val="24"/>
              </w:rPr>
              <w:fldChar w:fldCharType="begin"/>
            </w:r>
            <w:r>
              <w:rPr>
                <w:sz w:val="24"/>
                <w:szCs w:val="24"/>
              </w:rPr>
              <w:instrText xml:space="preserve"> HYPERLINK "https://www.baidu.com/s?wd=财务会计制度&amp;tn=SE_PcZhidaonwhc_ngpagmjz&amp;rsv_dl=gh_pc_zhidao" </w:instrText>
            </w:r>
            <w:r>
              <w:rPr>
                <w:sz w:val="24"/>
                <w:szCs w:val="24"/>
              </w:rPr>
              <w:fldChar w:fldCharType="separate"/>
            </w:r>
            <w:r>
              <w:rPr>
                <w:rFonts w:hint="eastAsia"/>
                <w:color w:val="000000" w:themeColor="text1"/>
                <w:sz w:val="24"/>
                <w:szCs w:val="24"/>
                <w14:textFill>
                  <w14:solidFill>
                    <w14:schemeClr w14:val="tx1"/>
                  </w14:solidFill>
                </w14:textFill>
              </w:rPr>
              <w:t>财务会计制度</w:t>
            </w:r>
            <w:r>
              <w:rPr>
                <w:rFonts w:hint="eastAsia"/>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（三）具有履行合同所必需的设备和专业技术能力；</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（四）有依法缴纳税收和</w:t>
            </w:r>
            <w:r>
              <w:rPr>
                <w:sz w:val="24"/>
                <w:szCs w:val="24"/>
              </w:rPr>
              <w:fldChar w:fldCharType="begin"/>
            </w:r>
            <w:r>
              <w:rPr>
                <w:sz w:val="24"/>
                <w:szCs w:val="24"/>
              </w:rPr>
              <w:instrText xml:space="preserve"> HYPERLINK "https://www.baidu.com/s?wd=社会保障资金&amp;tn=SE_PcZhidaonwhc_ngpagmjz&amp;rsv_dl=gh_pc_zhidao" </w:instrText>
            </w:r>
            <w:r>
              <w:rPr>
                <w:sz w:val="24"/>
                <w:szCs w:val="24"/>
              </w:rPr>
              <w:fldChar w:fldCharType="separate"/>
            </w:r>
            <w:r>
              <w:rPr>
                <w:rFonts w:hint="eastAsia"/>
                <w:color w:val="000000" w:themeColor="text1"/>
                <w:sz w:val="24"/>
                <w:szCs w:val="24"/>
                <w14:textFill>
                  <w14:solidFill>
                    <w14:schemeClr w14:val="tx1"/>
                  </w14:solidFill>
                </w14:textFill>
              </w:rPr>
              <w:t>社会保障资金</w:t>
            </w:r>
            <w:r>
              <w:rPr>
                <w:rFonts w:hint="eastAsia"/>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的良好记录；</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6218" w:type="dxa"/>
            <w:vAlign w:val="center"/>
          </w:tcPr>
          <w:p>
            <w:pPr>
              <w:autoSpaceDE w:val="0"/>
              <w:autoSpaceDN w:val="0"/>
              <w:spacing w:line="240" w:lineRule="auto"/>
              <w:ind w:left="120" w:leftChars="0" w:right="62" w:rightChars="0" w:hanging="120" w:hangingChars="50"/>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（五）参加政府采购活动前三年内，在经营活动中没有重大违法记录；</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是否提供</w:t>
            </w:r>
            <w:r>
              <w:rPr>
                <w:rFonts w:hint="eastAsia"/>
                <w:color w:val="000000" w:themeColor="text1"/>
                <w:sz w:val="24"/>
                <w:szCs w:val="24"/>
                <w:lang w:val="en-US" w:eastAsia="zh-CN"/>
                <w14:textFill>
                  <w14:solidFill>
                    <w14:schemeClr w14:val="tx1"/>
                  </w14:solidFill>
                </w14:textFill>
              </w:rPr>
              <w:t>近</w:t>
            </w:r>
            <w:r>
              <w:rPr>
                <w:rFonts w:hint="eastAsia"/>
                <w:color w:val="000000" w:themeColor="text1"/>
                <w:sz w:val="24"/>
                <w:szCs w:val="24"/>
                <w14:textFill>
                  <w14:solidFill>
                    <w14:schemeClr w14:val="tx1"/>
                  </w14:solidFill>
                </w14:textFill>
              </w:rPr>
              <w:t>一年度的审计报告；</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78" w:type="dxa"/>
            <w:vMerge w:val="restart"/>
            <w:vAlign w:val="center"/>
          </w:tcPr>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p>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响应性</w:t>
            </w:r>
          </w:p>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评审</w:t>
            </w: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投标有效期</w:t>
            </w:r>
            <w:r>
              <w:rPr>
                <w:rFonts w:hint="eastAsia"/>
                <w:color w:val="000000" w:themeColor="text1"/>
                <w:sz w:val="24"/>
                <w:szCs w:val="24"/>
                <w14:textFill>
                  <w14:solidFill>
                    <w14:schemeClr w14:val="tx1"/>
                  </w14:solidFill>
                </w14:textFill>
              </w:rPr>
              <w:t>是否符合招标文件要求；</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78" w:type="dxa"/>
            <w:vMerge w:val="continue"/>
            <w:vAlign w:val="center"/>
          </w:tcPr>
          <w:p>
            <w:pPr>
              <w:autoSpaceDE w:val="0"/>
              <w:autoSpaceDN w:val="0"/>
              <w:spacing w:line="240" w:lineRule="auto"/>
              <w:jc w:val="center"/>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投标报价是否超过预算金额；</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投标人是否对同一招标项目做出两个以上报价而未明确效力</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技术性能、技术参数是否满足招标文件要求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服务</w:t>
            </w:r>
            <w:r>
              <w:rPr>
                <w:color w:val="000000" w:themeColor="text1"/>
                <w:sz w:val="24"/>
                <w:szCs w:val="24"/>
                <w14:textFill>
                  <w14:solidFill>
                    <w14:schemeClr w14:val="tx1"/>
                  </w14:solidFill>
                </w14:textFill>
              </w:rPr>
              <w:t>地点是否符合招标文件要求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服务</w:t>
            </w:r>
            <w:r>
              <w:rPr>
                <w:color w:val="000000" w:themeColor="text1"/>
                <w:sz w:val="24"/>
                <w:szCs w:val="24"/>
                <w14:textFill>
                  <w14:solidFill>
                    <w14:schemeClr w14:val="tx1"/>
                  </w14:solidFill>
                </w14:textFill>
              </w:rPr>
              <w:t>期是否符合招标文件要求</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778" w:type="dxa"/>
            <w:vMerge w:val="continue"/>
            <w:vAlign w:val="center"/>
          </w:tcPr>
          <w:p>
            <w:pPr>
              <w:widowControl/>
              <w:spacing w:line="240" w:lineRule="auto"/>
              <w:jc w:val="left"/>
              <w:rPr>
                <w:color w:val="000000" w:themeColor="text1"/>
                <w:sz w:val="24"/>
                <w:szCs w:val="24"/>
                <w14:textFill>
                  <w14:solidFill>
                    <w14:schemeClr w14:val="tx1"/>
                  </w14:solidFill>
                </w14:textFill>
              </w:rPr>
            </w:pPr>
          </w:p>
        </w:tc>
        <w:tc>
          <w:tcPr>
            <w:tcW w:w="886" w:type="dxa"/>
            <w:vAlign w:val="center"/>
          </w:tcPr>
          <w:p>
            <w:pPr>
              <w:autoSpaceDE w:val="0"/>
              <w:autoSpaceDN w:val="0"/>
              <w:spacing w:line="240" w:lineRule="auto"/>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7</w:t>
            </w:r>
          </w:p>
        </w:tc>
        <w:tc>
          <w:tcPr>
            <w:tcW w:w="6218" w:type="dxa"/>
            <w:vAlign w:val="center"/>
          </w:tcPr>
          <w:p>
            <w:pPr>
              <w:autoSpaceDE w:val="0"/>
              <w:autoSpaceDN w:val="0"/>
              <w:spacing w:line="24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投标文件是否附有招标人不能接受的条件</w:t>
            </w:r>
            <w:r>
              <w:rPr>
                <w:rFonts w:hint="eastAsia"/>
                <w:color w:val="000000" w:themeColor="text1"/>
                <w:sz w:val="24"/>
                <w:szCs w:val="24"/>
                <w14:textFill>
                  <w14:solidFill>
                    <w14:schemeClr w14:val="tx1"/>
                  </w14:solidFill>
                </w14:textFill>
              </w:rPr>
              <w:t>；</w:t>
            </w:r>
          </w:p>
        </w:tc>
        <w:tc>
          <w:tcPr>
            <w:tcW w:w="791" w:type="dxa"/>
          </w:tcPr>
          <w:p>
            <w:pPr>
              <w:autoSpaceDE w:val="0"/>
              <w:autoSpaceDN w:val="0"/>
              <w:spacing w:line="240" w:lineRule="auto"/>
              <w:jc w:val="left"/>
              <w:rPr>
                <w:color w:val="000000" w:themeColor="text1"/>
                <w:sz w:val="24"/>
                <w:szCs w:val="24"/>
                <w14:textFill>
                  <w14:solidFill>
                    <w14:schemeClr w14:val="tx1"/>
                  </w14:solidFill>
                </w14:textFill>
              </w:rPr>
            </w:pPr>
          </w:p>
        </w:tc>
        <w:tc>
          <w:tcPr>
            <w:tcW w:w="1091" w:type="dxa"/>
          </w:tcPr>
          <w:p>
            <w:pPr>
              <w:autoSpaceDE w:val="0"/>
              <w:autoSpaceDN w:val="0"/>
              <w:spacing w:line="240" w:lineRule="auto"/>
              <w:jc w:val="left"/>
              <w:rPr>
                <w:color w:val="000000" w:themeColor="text1"/>
                <w:sz w:val="24"/>
                <w:szCs w:val="24"/>
                <w14:textFill>
                  <w14:solidFill>
                    <w14:schemeClr w14:val="tx1"/>
                  </w14:solidFill>
                </w14:textFill>
              </w:rPr>
            </w:pPr>
          </w:p>
        </w:tc>
      </w:tr>
    </w:tbl>
    <w:p>
      <w:pPr>
        <w:pStyle w:val="20"/>
        <w:ind w:left="0" w:leftChars="0" w:firstLine="0" w:firstLineChars="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详细评审</w:t>
      </w:r>
      <w:r>
        <w:rPr>
          <w:rFonts w:hint="eastAsia" w:ascii="宋体" w:hAnsi="宋体" w:cs="宋体"/>
          <w:b/>
          <w:bCs/>
          <w:kern w:val="2"/>
          <w:sz w:val="24"/>
          <w:szCs w:val="24"/>
          <w:lang w:val="en-US" w:eastAsia="zh-CN" w:bidi="ar-SA"/>
        </w:rPr>
        <w:t>：</w:t>
      </w:r>
    </w:p>
    <w:tbl>
      <w:tblPr>
        <w:tblStyle w:val="70"/>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79"/>
        <w:gridCol w:w="2120"/>
        <w:gridCol w:w="6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9" w:hRule="atLeast"/>
          <w:jc w:val="center"/>
        </w:trPr>
        <w:tc>
          <w:tcPr>
            <w:tcW w:w="1079"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序号</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评分项目</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51" w:hRule="atLeast"/>
          <w:jc w:val="center"/>
        </w:trPr>
        <w:tc>
          <w:tcPr>
            <w:tcW w:w="1079"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1</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sz w:val="24"/>
                <w:szCs w:val="24"/>
              </w:rPr>
              <w:t>报价（</w:t>
            </w:r>
            <w:r>
              <w:rPr>
                <w:rFonts w:hint="eastAsia" w:asciiTheme="minorEastAsia" w:hAnsiTheme="minorEastAsia" w:eastAsiaTheme="minorEastAsia" w:cstheme="minorEastAsia"/>
                <w:sz w:val="24"/>
                <w:szCs w:val="24"/>
                <w:lang w:val="en-US" w:eastAsia="zh-CN"/>
              </w:rPr>
              <w:t>30分</w:t>
            </w:r>
            <w:r>
              <w:rPr>
                <w:rFonts w:hint="eastAsia" w:asciiTheme="minorEastAsia" w:hAnsiTheme="minorEastAsia" w:eastAsiaTheme="minorEastAsia" w:cstheme="minorEastAsia"/>
                <w:sz w:val="24"/>
                <w:szCs w:val="24"/>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eastAsia" w:asciiTheme="minorEastAsia" w:hAnsiTheme="minorEastAsia" w:eastAsiaTheme="minorEastAsia" w:cstheme="minorEastAsia"/>
                <w:kern w:val="0"/>
                <w:sz w:val="24"/>
                <w:szCs w:val="24"/>
                <w:lang w:eastAsia="zh-CN" w:bidi="ar"/>
              </w:rPr>
            </w:pPr>
            <w:r>
              <w:rPr>
                <w:rFonts w:hint="eastAsia" w:ascii="宋体" w:hAnsi="宋体" w:cs="宋体"/>
                <w:color w:val="000000"/>
                <w:kern w:val="0"/>
                <w:sz w:val="24"/>
                <w:szCs w:val="22"/>
                <w:highlight w:val="none"/>
              </w:rPr>
              <w:t>投标报价采用综合评分法计算，价格分统一采用低价优先法计算，即满足招标文件要求且投标价格最低的投标报价为评标基准价，其价格分为满分</w:t>
            </w:r>
            <w:r>
              <w:rPr>
                <w:rFonts w:hint="eastAsia" w:ascii="宋体" w:hAnsi="宋体" w:cs="宋体"/>
                <w:color w:val="000000"/>
                <w:kern w:val="0"/>
                <w:sz w:val="24"/>
                <w:szCs w:val="22"/>
                <w:highlight w:val="none"/>
                <w:lang w:eastAsia="zh-CN"/>
              </w:rPr>
              <w:t>。</w:t>
            </w:r>
            <w:r>
              <w:rPr>
                <w:rFonts w:hint="eastAsia" w:asciiTheme="minorEastAsia" w:hAnsiTheme="minorEastAsia" w:eastAsiaTheme="minorEastAsia" w:cstheme="minorEastAsia"/>
                <w:kern w:val="0"/>
                <w:sz w:val="24"/>
                <w:szCs w:val="24"/>
                <w:lang w:bidi="ar"/>
              </w:rPr>
              <w:t>其他投标人的价格分统一按照下列公式计算：投标报价得分=（评标基准价÷投标报价）×价格权值×100。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2" w:hRule="atLeast"/>
          <w:jc w:val="center"/>
        </w:trPr>
        <w:tc>
          <w:tcPr>
            <w:tcW w:w="1079"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2</w:t>
            </w:r>
          </w:p>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2120"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主要人员的配备</w:t>
            </w:r>
          </w:p>
          <w:p>
            <w:pPr>
              <w:pStyle w:val="2"/>
              <w:ind w:firstLine="480" w:firstLineChars="200"/>
              <w:rPr>
                <w:rFonts w:hint="eastAsia" w:eastAsiaTheme="minorEastAsia"/>
                <w:lang w:eastAsia="zh-CN"/>
              </w:rPr>
            </w:pPr>
            <w:r>
              <w:rPr>
                <w:rFonts w:hint="eastAsia" w:asciiTheme="minorEastAsia" w:hAnsiTheme="minorEastAsia" w:eastAsiaTheme="minorEastAsia" w:cstheme="minorEastAsia"/>
                <w:kern w:val="0"/>
                <w:sz w:val="24"/>
                <w:szCs w:val="24"/>
                <w:lang w:eastAsia="zh-CN" w:bidi="ar"/>
              </w:rPr>
              <w:t>（</w:t>
            </w:r>
            <w:r>
              <w:rPr>
                <w:rFonts w:hint="eastAsia" w:asciiTheme="minorEastAsia" w:hAnsiTheme="minorEastAsia" w:eastAsiaTheme="minorEastAsia" w:cstheme="minorEastAsia"/>
                <w:kern w:val="0"/>
                <w:sz w:val="24"/>
                <w:szCs w:val="24"/>
                <w:lang w:val="en-US" w:eastAsia="zh-CN" w:bidi="ar"/>
              </w:rPr>
              <w:t>23分</w:t>
            </w:r>
            <w:r>
              <w:rPr>
                <w:rFonts w:hint="eastAsia" w:asciiTheme="minorEastAsia" w:hAnsiTheme="minorEastAsia" w:eastAsiaTheme="minorEastAsia" w:cstheme="minorEastAsia"/>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default" w:eastAsia="宋体" w:asciiTheme="minorEastAsia" w:hAnsi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参与项目评定</w:t>
            </w:r>
            <w:r>
              <w:rPr>
                <w:rFonts w:hint="eastAsia" w:asciiTheme="minorEastAsia" w:hAnsiTheme="minorEastAsia" w:eastAsiaTheme="minorEastAsia" w:cstheme="minorEastAsia"/>
                <w:color w:val="auto"/>
                <w:kern w:val="0"/>
                <w:sz w:val="24"/>
                <w:szCs w:val="24"/>
                <w:highlight w:val="none"/>
                <w:lang w:bidi="ar"/>
              </w:rPr>
              <w:t>总人数</w:t>
            </w:r>
            <w:r>
              <w:rPr>
                <w:rFonts w:hint="eastAsia" w:asciiTheme="minorEastAsia" w:hAnsiTheme="minorEastAsia" w:eastAsiaTheme="minorEastAsia" w:cstheme="minorEastAsia"/>
                <w:color w:val="auto"/>
                <w:kern w:val="0"/>
                <w:sz w:val="24"/>
                <w:szCs w:val="24"/>
                <w:highlight w:val="none"/>
                <w:lang w:val="en-US" w:eastAsia="zh-CN" w:bidi="ar"/>
              </w:rPr>
              <w:t>不少于15</w:t>
            </w:r>
            <w:r>
              <w:rPr>
                <w:rFonts w:hint="eastAsia" w:asciiTheme="minorEastAsia" w:hAnsiTheme="minorEastAsia" w:eastAsiaTheme="minorEastAsia" w:cstheme="minorEastAsia"/>
                <w:color w:val="auto"/>
                <w:kern w:val="0"/>
                <w:sz w:val="24"/>
                <w:szCs w:val="24"/>
                <w:highlight w:val="none"/>
                <w:lang w:bidi="ar"/>
              </w:rPr>
              <w:t>人</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宋体" w:hAnsi="宋体"/>
                <w:sz w:val="24"/>
                <w:szCs w:val="24"/>
              </w:rPr>
              <w:t>项目人员结构合理，专业齐全，职责任务明确</w:t>
            </w:r>
            <w:r>
              <w:rPr>
                <w:rFonts w:hint="eastAsia" w:ascii="宋体" w:hAnsi="宋体"/>
                <w:sz w:val="24"/>
                <w:szCs w:val="24"/>
                <w:lang w:val="en-US" w:eastAsia="zh-CN"/>
              </w:rPr>
              <w:t>得10分，</w:t>
            </w:r>
            <w:r>
              <w:rPr>
                <w:rFonts w:hint="eastAsia" w:asciiTheme="minorEastAsia" w:hAnsiTheme="minorEastAsia" w:eastAsiaTheme="minorEastAsia" w:cstheme="minorEastAsia"/>
                <w:kern w:val="0"/>
                <w:sz w:val="24"/>
                <w:szCs w:val="24"/>
                <w:lang w:val="en-US" w:eastAsia="zh-CN" w:bidi="ar"/>
              </w:rPr>
              <w:t>每少一人扣1分（至少得0分）、加一人得0.5分（至多得3分）</w:t>
            </w:r>
            <w:r>
              <w:rPr>
                <w:rFonts w:hint="eastAsia" w:asciiTheme="minorEastAsia" w:hAnsiTheme="minorEastAsia" w:eastAsiaTheme="minorEastAsia" w:cstheme="minorEastAsia"/>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7" w:hRule="atLeast"/>
          <w:jc w:val="center"/>
        </w:trPr>
        <w:tc>
          <w:tcPr>
            <w:tcW w:w="1079"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pPr>
          </w:p>
        </w:tc>
        <w:tc>
          <w:tcPr>
            <w:tcW w:w="2120"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pP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项目负责人</w:t>
            </w:r>
            <w:r>
              <w:rPr>
                <w:rFonts w:hint="eastAsia" w:asciiTheme="minorEastAsia" w:hAnsiTheme="minorEastAsia" w:eastAsiaTheme="minorEastAsia" w:cstheme="minorEastAsia"/>
                <w:kern w:val="0"/>
                <w:sz w:val="24"/>
                <w:szCs w:val="24"/>
                <w:lang w:val="en-US" w:eastAsia="zh-CN" w:bidi="ar"/>
              </w:rPr>
              <w:t>为</w:t>
            </w:r>
            <w:r>
              <w:rPr>
                <w:rFonts w:hint="eastAsia" w:ascii="宋体" w:hAnsi="宋体"/>
                <w:sz w:val="24"/>
                <w:szCs w:val="24"/>
              </w:rPr>
              <w:t>高级工程师</w:t>
            </w:r>
            <w:r>
              <w:rPr>
                <w:rFonts w:hint="eastAsia" w:ascii="宋体" w:hAnsi="宋体"/>
                <w:sz w:val="24"/>
                <w:szCs w:val="24"/>
                <w:lang w:val="en-US" w:eastAsia="zh-CN"/>
              </w:rPr>
              <w:t>职称且从事相关检测工作3年以上</w:t>
            </w:r>
            <w:r>
              <w:rPr>
                <w:rFonts w:hint="eastAsia" w:asciiTheme="minorEastAsia" w:hAnsiTheme="minorEastAsia" w:eastAsiaTheme="minorEastAsia" w:cstheme="minorEastAsia"/>
                <w:kern w:val="0"/>
                <w:sz w:val="24"/>
                <w:szCs w:val="24"/>
                <w:lang w:bidi="ar"/>
              </w:rPr>
              <w:t>得</w:t>
            </w:r>
            <w:r>
              <w:rPr>
                <w:rFonts w:hint="eastAsia" w:asciiTheme="minorEastAsia" w:hAnsiTheme="minorEastAsia" w:eastAsiaTheme="minorEastAsia" w:cstheme="minorEastAsia"/>
                <w:kern w:val="0"/>
                <w:sz w:val="24"/>
                <w:szCs w:val="24"/>
                <w:lang w:val="en-US" w:eastAsia="zh-CN" w:bidi="ar"/>
              </w:rPr>
              <w:t>5</w:t>
            </w:r>
            <w:r>
              <w:rPr>
                <w:rFonts w:hint="eastAsia" w:asciiTheme="minorEastAsia" w:hAnsiTheme="minorEastAsia" w:eastAsiaTheme="minorEastAsia" w:cstheme="minorEastAsia"/>
                <w:kern w:val="0"/>
                <w:sz w:val="24"/>
                <w:szCs w:val="24"/>
                <w:lang w:bidi="ar"/>
              </w:rPr>
              <w:t>分,</w:t>
            </w:r>
            <w:r>
              <w:rPr>
                <w:rFonts w:hint="eastAsia" w:asciiTheme="minorEastAsia" w:hAnsiTheme="minorEastAsia" w:eastAsiaTheme="minorEastAsia" w:cstheme="minorEastAsia"/>
                <w:kern w:val="0"/>
                <w:sz w:val="24"/>
                <w:szCs w:val="24"/>
                <w:lang w:val="en-US" w:eastAsia="zh-CN" w:bidi="ar"/>
              </w:rPr>
              <w:t>工程师</w:t>
            </w:r>
            <w:r>
              <w:rPr>
                <w:rFonts w:hint="eastAsia" w:asciiTheme="minorEastAsia" w:hAnsiTheme="minorEastAsia" w:eastAsiaTheme="minorEastAsia" w:cstheme="minorEastAsia"/>
                <w:kern w:val="0"/>
                <w:sz w:val="24"/>
                <w:szCs w:val="24"/>
                <w:lang w:bidi="ar"/>
              </w:rPr>
              <w:t>职称得</w:t>
            </w:r>
            <w:r>
              <w:rPr>
                <w:rFonts w:hint="eastAsia" w:asciiTheme="minorEastAsia" w:hAnsiTheme="minorEastAsia" w:eastAsiaTheme="minorEastAsia" w:cstheme="minorEastAsia"/>
                <w:kern w:val="0"/>
                <w:sz w:val="24"/>
                <w:szCs w:val="24"/>
                <w:lang w:val="en-US" w:eastAsia="zh-CN" w:bidi="ar"/>
              </w:rPr>
              <w:t>2</w:t>
            </w:r>
            <w:r>
              <w:rPr>
                <w:rFonts w:hint="eastAsia" w:asciiTheme="minorEastAsia" w:hAnsiTheme="minorEastAsia" w:eastAsiaTheme="minorEastAsia" w:cstheme="minorEastAsia"/>
                <w:kern w:val="0"/>
                <w:sz w:val="24"/>
                <w:szCs w:val="24"/>
                <w:lang w:bidi="ar"/>
              </w:rPr>
              <w:t>分，否则不得分（以资格证复印件作为评判）。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6" w:hRule="atLeast"/>
          <w:jc w:val="center"/>
        </w:trPr>
        <w:tc>
          <w:tcPr>
            <w:tcW w:w="1079"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2120" w:type="dxa"/>
            <w:vMerge w:val="continue"/>
            <w:vAlign w:val="center"/>
          </w:tcPr>
          <w:p>
            <w:pPr>
              <w:keepNext w:val="0"/>
              <w:keepLines w:val="0"/>
              <w:pageBreakBefore w:val="0"/>
              <w:kinsoku/>
              <w:wordWrap/>
              <w:overflowPunct/>
              <w:topLinePunct w:val="0"/>
              <w:autoSpaceDE/>
              <w:autoSpaceDN/>
              <w:bidi w:val="0"/>
              <w:adjustRightInd w:val="0"/>
              <w:snapToGrid/>
              <w:spacing w:line="340" w:lineRule="exact"/>
              <w:ind w:left="100" w:right="0" w:hanging="100"/>
              <w:jc w:val="center"/>
              <w:textAlignment w:val="center"/>
              <w:rPr>
                <w:rFonts w:hint="eastAsia" w:asciiTheme="minorEastAsia" w:hAnsiTheme="minorEastAsia" w:eastAsiaTheme="minorEastAsia" w:cstheme="minorEastAsia"/>
                <w:kern w:val="0"/>
                <w:sz w:val="24"/>
                <w:szCs w:val="24"/>
                <w:lang w:bidi="ar"/>
              </w:rPr>
            </w:pPr>
          </w:p>
        </w:tc>
        <w:tc>
          <w:tcPr>
            <w:tcW w:w="6244" w:type="dxa"/>
            <w:vAlign w:val="center"/>
          </w:tcPr>
          <w:p>
            <w:pPr>
              <w:spacing w:line="360" w:lineRule="auto"/>
              <w:ind w:left="480" w:hanging="480"/>
              <w:jc w:val="both"/>
              <w:rPr>
                <w:rFonts w:hint="eastAsia" w:asciiTheme="minorEastAsia" w:hAnsiTheme="minorEastAsia" w:eastAsiaTheme="minorEastAsia" w:cstheme="minorEastAsia"/>
                <w:kern w:val="0"/>
                <w:sz w:val="24"/>
                <w:szCs w:val="24"/>
                <w:lang w:eastAsia="zh-CN" w:bidi="ar"/>
              </w:rPr>
            </w:pPr>
            <w:r>
              <w:rPr>
                <w:rFonts w:hint="eastAsia" w:ascii="宋体" w:hAnsi="宋体"/>
                <w:sz w:val="24"/>
                <w:szCs w:val="24"/>
                <w:lang w:val="en-US" w:eastAsia="zh-CN"/>
              </w:rPr>
              <w:t>派驻现场工作的</w:t>
            </w:r>
            <w:r>
              <w:rPr>
                <w:rFonts w:hint="eastAsia" w:ascii="宋体" w:hAnsi="宋体"/>
                <w:sz w:val="24"/>
                <w:szCs w:val="24"/>
              </w:rPr>
              <w:t>其他人员</w:t>
            </w:r>
            <w:r>
              <w:rPr>
                <w:rFonts w:hint="eastAsia" w:ascii="宋体" w:hAnsi="宋体"/>
                <w:sz w:val="24"/>
                <w:szCs w:val="24"/>
                <w:lang w:val="en-US" w:eastAsia="zh-CN"/>
              </w:rPr>
              <w:t>5人以上为工程师职称得5分，助理工程师职称得2分，</w:t>
            </w:r>
            <w:r>
              <w:rPr>
                <w:rFonts w:hint="eastAsia" w:asciiTheme="minorEastAsia" w:hAnsiTheme="minorEastAsia" w:eastAsiaTheme="minorEastAsia" w:cstheme="minorEastAsia"/>
                <w:kern w:val="0"/>
                <w:sz w:val="24"/>
                <w:szCs w:val="24"/>
                <w:lang w:bidi="ar"/>
              </w:rPr>
              <w:t>否则不得分（以资格证复印件作为评判）</w:t>
            </w:r>
            <w:r>
              <w:rPr>
                <w:rFonts w:hint="eastAsia" w:asciiTheme="minorEastAsia" w:hAnsiTheme="minorEastAsia" w:eastAsiaTheme="minorEastAsia" w:cstheme="minorEastAsia"/>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9" w:hRule="atLeast"/>
          <w:jc w:val="center"/>
        </w:trPr>
        <w:tc>
          <w:tcPr>
            <w:tcW w:w="1079" w:type="dxa"/>
            <w:vMerge w:val="restart"/>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0"/>
                <w:sz w:val="24"/>
                <w:szCs w:val="24"/>
                <w:lang w:val="en-US" w:eastAsia="zh-CN" w:bidi="ar"/>
              </w:rPr>
              <w:t>4</w:t>
            </w:r>
          </w:p>
        </w:tc>
        <w:tc>
          <w:tcPr>
            <w:tcW w:w="2120" w:type="dxa"/>
            <w:vMerge w:val="restart"/>
            <w:vAlign w:val="center"/>
          </w:tcPr>
          <w:p>
            <w:pPr>
              <w:keepNext w:val="0"/>
              <w:keepLines w:val="0"/>
              <w:pageBreakBefore w:val="0"/>
              <w:widowControl/>
              <w:kinsoku/>
              <w:wordWrap/>
              <w:overflowPunct/>
              <w:topLinePunct w:val="0"/>
              <w:autoSpaceDE/>
              <w:autoSpaceDN/>
              <w:bidi w:val="0"/>
              <w:adjustRightInd w:val="0"/>
              <w:snapToGrid/>
              <w:spacing w:line="340" w:lineRule="exact"/>
              <w:ind w:left="0" w:leftChars="0" w:right="0" w:firstLine="0" w:firstLineChars="0"/>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根据项目需求编制的方案（</w:t>
            </w:r>
            <w:r>
              <w:rPr>
                <w:rFonts w:hint="eastAsia" w:asciiTheme="minorEastAsia" w:hAnsiTheme="minorEastAsia" w:eastAsiaTheme="minorEastAsia" w:cstheme="minorEastAsia"/>
                <w:kern w:val="0"/>
                <w:sz w:val="24"/>
                <w:szCs w:val="24"/>
                <w:lang w:val="en-US" w:eastAsia="zh-CN" w:bidi="ar"/>
              </w:rPr>
              <w:t>20分</w:t>
            </w:r>
            <w:r>
              <w:rPr>
                <w:rFonts w:hint="eastAsia" w:asciiTheme="minorEastAsia" w:hAnsiTheme="minorEastAsia" w:eastAsiaTheme="minorEastAsia" w:cstheme="minorEastAsia"/>
                <w:kern w:val="0"/>
                <w:sz w:val="24"/>
                <w:szCs w:val="24"/>
                <w:lang w:bidi="ar"/>
              </w:rPr>
              <w:t>）</w:t>
            </w:r>
          </w:p>
        </w:tc>
        <w:tc>
          <w:tcPr>
            <w:tcW w:w="6244"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kern w:val="0"/>
                <w:sz w:val="24"/>
                <w:szCs w:val="24"/>
                <w:lang w:bidi="ar"/>
              </w:rPr>
              <w:t>依据投标人提供的</w:t>
            </w:r>
            <w:r>
              <w:rPr>
                <w:rFonts w:hint="eastAsia" w:ascii="宋体" w:hAnsi="宋体" w:eastAsia="新宋体" w:cs="Times New Roman"/>
                <w:kern w:val="2"/>
                <w:sz w:val="24"/>
                <w:szCs w:val="24"/>
                <w:highlight w:val="none"/>
                <w:lang w:val="en-US" w:eastAsia="zh-CN" w:bidi="ar-SA"/>
              </w:rPr>
              <w:t>对和田市5.3万户农户院内所有房屋进行安全性鉴定，房屋结构安全隐患排查、检测等</w:t>
            </w:r>
            <w:r>
              <w:rPr>
                <w:rFonts w:hint="eastAsia" w:asciiTheme="minorEastAsia" w:hAnsiTheme="minorEastAsia" w:eastAsiaTheme="minorEastAsia" w:cstheme="minorEastAsia"/>
                <w:kern w:val="0"/>
                <w:sz w:val="24"/>
                <w:szCs w:val="24"/>
                <w:lang w:bidi="ar"/>
              </w:rPr>
              <w:t>，</w:t>
            </w:r>
            <w:r>
              <w:rPr>
                <w:rFonts w:hint="eastAsia" w:asciiTheme="minorEastAsia" w:hAnsiTheme="minorEastAsia" w:eastAsiaTheme="minorEastAsia" w:cstheme="minorEastAsia"/>
                <w:kern w:val="0"/>
                <w:sz w:val="24"/>
                <w:szCs w:val="24"/>
                <w:lang w:val="en-US" w:eastAsia="zh-CN" w:bidi="ar"/>
              </w:rPr>
              <w:t>结合各乡镇、片区鉴定户数分布做出切实可行的方案计划。方案祥细周密10～7分；方案一般可行6～4分；方案无实施意义3～0分。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1079" w:type="dxa"/>
            <w:vMerge w:val="continue"/>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p>
        </w:tc>
        <w:tc>
          <w:tcPr>
            <w:tcW w:w="2120" w:type="dxa"/>
            <w:vMerge w:val="continue"/>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p>
        </w:tc>
        <w:tc>
          <w:tcPr>
            <w:tcW w:w="6244"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bidi="ar"/>
              </w:rPr>
              <w:t>依据投标人提供的</w:t>
            </w:r>
            <w:r>
              <w:rPr>
                <w:rFonts w:hint="eastAsia" w:asciiTheme="minorEastAsia" w:hAnsiTheme="minorEastAsia" w:eastAsiaTheme="minorEastAsia" w:cstheme="minorEastAsia"/>
                <w:kern w:val="0"/>
                <w:sz w:val="24"/>
                <w:szCs w:val="24"/>
                <w:lang w:val="en-US" w:eastAsia="zh-CN" w:bidi="ar"/>
              </w:rPr>
              <w:t>房屋鉴定规范、要求对个户监测数据进行认真详细对比给予</w:t>
            </w:r>
            <w:r>
              <w:rPr>
                <w:rFonts w:hint="eastAsia" w:asciiTheme="minorEastAsia" w:hAnsiTheme="minorEastAsia" w:eastAsiaTheme="minorEastAsia" w:cstheme="minorEastAsia"/>
                <w:kern w:val="0"/>
                <w:sz w:val="24"/>
                <w:szCs w:val="24"/>
                <w:lang w:bidi="ar"/>
              </w:rPr>
              <w:t>相关合理化建议</w:t>
            </w:r>
            <w:r>
              <w:rPr>
                <w:rFonts w:hint="eastAsia" w:asciiTheme="minorEastAsia" w:hAnsiTheme="minorEastAsia" w:eastAsiaTheme="minorEastAsia" w:cstheme="minorEastAsia"/>
                <w:kern w:val="0"/>
                <w:sz w:val="24"/>
                <w:szCs w:val="24"/>
                <w:lang w:eastAsia="zh-CN" w:bidi="ar"/>
              </w:rPr>
              <w:t>，</w:t>
            </w:r>
            <w:r>
              <w:rPr>
                <w:rFonts w:hint="eastAsia" w:asciiTheme="minorEastAsia" w:hAnsiTheme="minorEastAsia" w:eastAsiaTheme="minorEastAsia" w:cstheme="minorEastAsia"/>
                <w:kern w:val="0"/>
                <w:sz w:val="24"/>
                <w:szCs w:val="24"/>
                <w:lang w:val="en-US" w:eastAsia="zh-CN" w:bidi="ar"/>
              </w:rPr>
              <w:t>合理10～6分；一般5～1分；未给予任何相关建议不得分</w:t>
            </w:r>
            <w:r>
              <w:rPr>
                <w:rFonts w:hint="eastAsia" w:asciiTheme="minorEastAsia" w:hAnsiTheme="minorEastAsia" w:eastAsiaTheme="minorEastAsia" w:cstheme="minorEastAsia"/>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120" w:type="dxa"/>
            <w:vAlign w:val="center"/>
          </w:tcPr>
          <w:p>
            <w:pPr>
              <w:keepNext w:val="0"/>
              <w:keepLines w:val="0"/>
              <w:pageBreakBefore w:val="0"/>
              <w:kinsoku/>
              <w:wordWrap/>
              <w:overflowPunct/>
              <w:topLinePunct w:val="0"/>
              <w:autoSpaceDE/>
              <w:autoSpaceDN/>
              <w:bidi w:val="0"/>
              <w:adjustRightInd w:val="0"/>
              <w:snapToGrid/>
              <w:spacing w:line="340" w:lineRule="exact"/>
              <w:ind w:left="120" w:leftChars="0" w:right="0" w:rightChars="0" w:hanging="120" w:hangingChars="50"/>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sz w:val="24"/>
                <w:szCs w:val="24"/>
                <w:lang w:val="en-US" w:eastAsia="zh-CN"/>
              </w:rPr>
              <w:t>服务期、质量、安全方案（14分）</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20" w:leftChars="0" w:right="0" w:rightChars="0" w:hanging="120" w:hangingChars="50"/>
              <w:jc w:val="left"/>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sz w:val="24"/>
                <w:szCs w:val="24"/>
                <w:lang w:val="en-US" w:eastAsia="zh-CN"/>
              </w:rPr>
              <w:t>服务期、质量、安全方案全面可行满足招标文件要求且有详细的计划表得</w:t>
            </w:r>
            <w:r>
              <w:rPr>
                <w:rFonts w:hint="eastAsia" w:asciiTheme="minorEastAsia" w:hAnsiTheme="minorEastAsia" w:eastAsiaTheme="minorEastAsia" w:cstheme="minorEastAsia"/>
                <w:kern w:val="0"/>
                <w:sz w:val="24"/>
                <w:szCs w:val="24"/>
                <w:lang w:val="en-US" w:eastAsia="zh-CN" w:bidi="ar"/>
              </w:rPr>
              <w:t>14～10分，全面可行满足招标文件要求没有计划表得9～6分；不全面不可行满足招标文件要求有计划表得5～3分；全面可行未满足招标文件要求有计划表得2～0分；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80"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2120"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color w:val="auto"/>
                <w:kern w:val="0"/>
                <w:sz w:val="24"/>
                <w:szCs w:val="24"/>
                <w:lang w:val="en-US" w:eastAsia="zh-CN" w:bidi="ar"/>
              </w:rPr>
              <w:t>业绩</w:t>
            </w:r>
            <w:r>
              <w:rPr>
                <w:rFonts w:hint="eastAsia" w:asciiTheme="minorEastAsia" w:hAnsiTheme="minorEastAsia" w:eastAsia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val="en-US" w:eastAsia="zh-CN" w:bidi="ar"/>
              </w:rPr>
              <w:t>8</w:t>
            </w:r>
            <w:r>
              <w:rPr>
                <w:rFonts w:hint="eastAsia" w:asciiTheme="minorEastAsia" w:hAnsiTheme="minorEastAsia" w:eastAsiaTheme="minorEastAsia" w:cstheme="minorEastAsia"/>
                <w:color w:val="auto"/>
                <w:kern w:val="0"/>
                <w:sz w:val="24"/>
                <w:szCs w:val="24"/>
                <w:lang w:bidi="ar"/>
              </w:rPr>
              <w:t>分</w:t>
            </w:r>
            <w:r>
              <w:rPr>
                <w:rFonts w:hint="eastAsia" w:asciiTheme="minorEastAsia" w:hAnsiTheme="minorEastAsia" w:eastAsiaTheme="minorEastAsia" w:cstheme="minorEastAsia"/>
                <w:color w:val="auto"/>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20" w:leftChars="0" w:right="0" w:rightChars="0" w:hanging="120" w:hangingChars="50"/>
              <w:jc w:val="left"/>
              <w:textAlignment w:val="center"/>
              <w:rPr>
                <w:rFonts w:hint="eastAsia" w:asciiTheme="minorEastAsia" w:hAnsiTheme="minorEastAsia" w:eastAsiaTheme="minorEastAsia" w:cstheme="minorEastAsia"/>
                <w:kern w:val="0"/>
                <w:sz w:val="24"/>
                <w:szCs w:val="24"/>
                <w:lang w:bidi="ar"/>
              </w:rPr>
            </w:pPr>
            <w:r>
              <w:rPr>
                <w:rFonts w:hint="eastAsia" w:ascii="宋体" w:hAnsi="宋体"/>
                <w:sz w:val="24"/>
                <w:szCs w:val="24"/>
              </w:rPr>
              <w:t>近</w:t>
            </w:r>
            <w:r>
              <w:rPr>
                <w:rFonts w:hint="eastAsia" w:ascii="宋体" w:hAnsi="宋体"/>
                <w:sz w:val="24"/>
                <w:szCs w:val="24"/>
                <w:lang w:val="en-US" w:eastAsia="zh-CN"/>
              </w:rPr>
              <w:t>三</w:t>
            </w:r>
            <w:r>
              <w:rPr>
                <w:rFonts w:hint="eastAsia" w:ascii="宋体" w:hAnsi="宋体"/>
                <w:sz w:val="24"/>
                <w:szCs w:val="24"/>
              </w:rPr>
              <w:t>年同类项目业绩（附合同复印件），每项2分，满分6分。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2120" w:type="dxa"/>
            <w:vAlign w:val="center"/>
          </w:tcPr>
          <w:p>
            <w:pPr>
              <w:keepNext w:val="0"/>
              <w:keepLines w:val="0"/>
              <w:pageBreakBefore w:val="0"/>
              <w:kinsoku/>
              <w:wordWrap/>
              <w:overflowPunct/>
              <w:topLinePunct w:val="0"/>
              <w:autoSpaceDE/>
              <w:autoSpaceDN/>
              <w:bidi w:val="0"/>
              <w:adjustRightInd w:val="0"/>
              <w:snapToGrid/>
              <w:spacing w:line="340" w:lineRule="exact"/>
              <w:ind w:left="120" w:leftChars="0" w:right="0" w:rightChars="0" w:hanging="120" w:hangingChar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kern w:val="0"/>
                <w:sz w:val="24"/>
                <w:szCs w:val="24"/>
                <w:lang w:bidi="ar"/>
              </w:rPr>
              <w:t>投标文件质量</w:t>
            </w:r>
            <w:r>
              <w:rPr>
                <w:rFonts w:hint="eastAsia" w:asciiTheme="minorEastAsia" w:hAnsiTheme="minorEastAsia" w:eastAsia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val="en-US" w:eastAsia="zh-CN" w:bidi="ar"/>
              </w:rPr>
              <w:t>5</w:t>
            </w:r>
            <w:r>
              <w:rPr>
                <w:rFonts w:hint="eastAsia" w:asciiTheme="minorEastAsia" w:hAnsiTheme="minorEastAsia" w:eastAsiaTheme="minorEastAsia" w:cstheme="minorEastAsia"/>
                <w:color w:val="auto"/>
                <w:kern w:val="0"/>
                <w:sz w:val="24"/>
                <w:szCs w:val="24"/>
                <w:lang w:bidi="ar"/>
              </w:rPr>
              <w:t>分</w:t>
            </w:r>
            <w:r>
              <w:rPr>
                <w:rFonts w:hint="eastAsia" w:asciiTheme="minorEastAsia" w:hAnsiTheme="minorEastAsia" w:eastAsiaTheme="minorEastAsia" w:cstheme="minorEastAsia"/>
                <w:color w:val="auto"/>
                <w:kern w:val="0"/>
                <w:sz w:val="24"/>
                <w:szCs w:val="24"/>
                <w:lang w:eastAsia="zh-CN" w:bidi="ar"/>
              </w:rPr>
              <w:t>）</w:t>
            </w:r>
          </w:p>
        </w:tc>
        <w:tc>
          <w:tcPr>
            <w:tcW w:w="6244" w:type="dxa"/>
            <w:vAlign w:val="center"/>
          </w:tcPr>
          <w:p>
            <w:pPr>
              <w:keepNext w:val="0"/>
              <w:keepLines w:val="0"/>
              <w:pageBreakBefore w:val="0"/>
              <w:widowControl/>
              <w:kinsoku/>
              <w:wordWrap/>
              <w:overflowPunct/>
              <w:topLinePunct w:val="0"/>
              <w:autoSpaceDE/>
              <w:autoSpaceDN/>
              <w:bidi w:val="0"/>
              <w:adjustRightInd w:val="0"/>
              <w:snapToGrid/>
              <w:spacing w:line="340" w:lineRule="exact"/>
              <w:ind w:left="105" w:right="0" w:hanging="105"/>
              <w:jc w:val="left"/>
              <w:textAlignment w:val="center"/>
              <w:rPr>
                <w:rFonts w:hint="default" w:asciiTheme="minorEastAsia" w:hAnsiTheme="minorEastAsia" w:eastAsiaTheme="minorEastAsia" w:cstheme="minorEastAsia"/>
                <w:kern w:val="0"/>
                <w:sz w:val="24"/>
                <w:szCs w:val="24"/>
                <w:lang w:val="en-US" w:bidi="ar"/>
              </w:rPr>
            </w:pPr>
            <w:r>
              <w:rPr>
                <w:rFonts w:hint="eastAsia" w:asciiTheme="minorEastAsia" w:hAnsiTheme="minorEastAsia" w:eastAsiaTheme="minorEastAsia" w:cstheme="minorEastAsia"/>
                <w:kern w:val="0"/>
                <w:sz w:val="24"/>
                <w:szCs w:val="24"/>
                <w:lang w:val="en-US" w:eastAsia="zh-CN" w:bidi="ar"/>
              </w:rPr>
              <w:t>满足招标文件实质性要求，装订采用胶装得5分，活页装订不得分。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1079" w:type="dxa"/>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eastAsia" w:asciiTheme="minorEastAsia" w:hAnsiTheme="minorEastAsia" w:eastAsiaTheme="minorEastAsia" w:cstheme="minorEastAsia"/>
                <w:sz w:val="24"/>
                <w:szCs w:val="24"/>
              </w:rPr>
            </w:pPr>
          </w:p>
        </w:tc>
        <w:tc>
          <w:tcPr>
            <w:tcW w:w="8364" w:type="dxa"/>
            <w:gridSpan w:val="2"/>
            <w:vAlign w:val="center"/>
          </w:tcPr>
          <w:p>
            <w:pPr>
              <w:keepNext w:val="0"/>
              <w:keepLines w:val="0"/>
              <w:pageBreakBefore w:val="0"/>
              <w:kinsoku/>
              <w:wordWrap/>
              <w:overflowPunct/>
              <w:topLinePunct w:val="0"/>
              <w:autoSpaceDE/>
              <w:autoSpaceDN/>
              <w:bidi w:val="0"/>
              <w:adjustRightInd w:val="0"/>
              <w:snapToGrid/>
              <w:spacing w:line="340" w:lineRule="exact"/>
              <w:ind w:left="105" w:right="0" w:hanging="105"/>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合计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100分</w:t>
            </w:r>
          </w:p>
        </w:tc>
      </w:tr>
    </w:tbl>
    <w:p>
      <w:pPr>
        <w:keepNext w:val="0"/>
        <w:keepLines w:val="0"/>
        <w:pageBreakBefore w:val="0"/>
        <w:widowControl w:val="0"/>
        <w:kinsoku/>
        <w:wordWrap/>
        <w:overflowPunct/>
        <w:topLinePunct w:val="0"/>
        <w:autoSpaceDE/>
        <w:autoSpaceDN/>
        <w:bidi w:val="0"/>
        <w:adjustRightInd/>
        <w:snapToGrid/>
        <w:spacing w:line="500" w:lineRule="exact"/>
        <w:ind w:right="0"/>
        <w:textAlignment w:val="auto"/>
        <w:rPr>
          <w:rFonts w:hint="eastAsia" w:ascii="宋体" w:hAnsi="宋体" w:cs="宋体"/>
          <w:b/>
          <w:color w:val="FF0000"/>
          <w:sz w:val="24"/>
          <w:szCs w:val="24"/>
          <w:lang w:val="en-US" w:eastAsia="zh-CN"/>
        </w:rPr>
      </w:pPr>
      <w:r>
        <w:rPr>
          <w:rFonts w:hint="eastAsia" w:ascii="宋体" w:hAnsi="宋体" w:cs="宋体"/>
          <w:b/>
          <w:color w:val="FF0000"/>
          <w:sz w:val="24"/>
          <w:szCs w:val="24"/>
          <w:lang w:val="en-US" w:eastAsia="zh-CN"/>
        </w:rPr>
        <w:t>特别注意：</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default" w:ascii="宋体" w:hAnsi="宋体" w:eastAsia="宋体" w:cs="宋体"/>
          <w:b/>
          <w:color w:val="FF0000"/>
          <w:sz w:val="24"/>
          <w:szCs w:val="24"/>
          <w:lang w:val="en-US" w:eastAsia="zh-CN"/>
        </w:rPr>
      </w:pPr>
      <w:r>
        <w:rPr>
          <w:rFonts w:hint="eastAsia" w:ascii="宋体" w:hAnsi="宋体" w:cs="宋体"/>
          <w:b/>
          <w:color w:val="FF0000"/>
          <w:sz w:val="24"/>
          <w:szCs w:val="24"/>
        </w:rPr>
        <w:t>1、中标公司按照自治区要求开展</w:t>
      </w:r>
      <w:r>
        <w:rPr>
          <w:rFonts w:hint="eastAsia" w:ascii="宋体" w:hAnsi="宋体" w:cs="宋体"/>
          <w:b/>
          <w:color w:val="FF0000"/>
          <w:sz w:val="24"/>
          <w:szCs w:val="24"/>
          <w:lang w:val="en-US" w:eastAsia="zh-CN"/>
        </w:rPr>
        <w:t>房屋安全性鉴定工作</w:t>
      </w:r>
      <w:r>
        <w:rPr>
          <w:rFonts w:hint="eastAsia" w:ascii="宋体" w:hAnsi="宋体" w:cs="宋体"/>
          <w:b/>
          <w:color w:val="FF0000"/>
          <w:sz w:val="24"/>
          <w:szCs w:val="24"/>
        </w:rPr>
        <w:t>，必须在</w:t>
      </w:r>
      <w:r>
        <w:rPr>
          <w:rFonts w:hint="eastAsia" w:ascii="宋体" w:hAnsi="宋体" w:cs="宋体"/>
          <w:b/>
          <w:color w:val="FF0000"/>
          <w:sz w:val="24"/>
          <w:szCs w:val="24"/>
          <w:lang w:val="en-US" w:eastAsia="zh-CN"/>
        </w:rPr>
        <w:t>2020年6月10日前完成各乡镇房屋安全性鉴定工作</w:t>
      </w:r>
      <w:r>
        <w:rPr>
          <w:rFonts w:hint="eastAsia" w:ascii="宋体" w:hAnsi="宋体" w:cs="宋体"/>
          <w:b/>
          <w:color w:val="FF0000"/>
          <w:sz w:val="24"/>
          <w:szCs w:val="24"/>
        </w:rPr>
        <w:t>，不得出现工作差错。</w:t>
      </w:r>
      <w:r>
        <w:rPr>
          <w:rFonts w:hint="eastAsia" w:ascii="宋体" w:hAnsi="宋体" w:cs="宋体"/>
          <w:b/>
          <w:color w:val="FF0000"/>
          <w:sz w:val="24"/>
          <w:szCs w:val="24"/>
          <w:lang w:val="en-US" w:eastAsia="zh-CN"/>
        </w:rPr>
        <w:t>未按期限履行合同采购人将给予5000元/天（日历天）的罚款。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eastAsia" w:ascii="宋体" w:hAnsi="宋体" w:cs="宋体"/>
          <w:b/>
          <w:sz w:val="24"/>
          <w:szCs w:val="24"/>
          <w:lang w:val="en-US" w:eastAsia="zh-CN"/>
        </w:rPr>
      </w:pPr>
      <w:r>
        <w:rPr>
          <w:rFonts w:hint="eastAsia" w:ascii="宋体" w:hAnsi="宋体" w:cs="宋体"/>
          <w:b/>
          <w:color w:val="FF0000"/>
          <w:sz w:val="24"/>
          <w:szCs w:val="24"/>
          <w:lang w:val="en-US" w:eastAsia="zh-CN"/>
        </w:rPr>
        <w:t>2、从事过房屋结构检测、结构安全性及抗震性能鉴定的第三方机构。第三方机构（第三方机构是指依法设立并提供服务的法人或其他组织，主要包括建设工程质量检测机构）。</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2" w:firstLineChars="200"/>
        <w:textAlignment w:val="auto"/>
        <w:rPr>
          <w:rFonts w:hint="default" w:ascii="宋体" w:hAnsi="宋体" w:eastAsia="宋体" w:cs="宋体"/>
          <w:b/>
          <w:sz w:val="24"/>
          <w:szCs w:val="24"/>
          <w:lang w:val="en-US" w:eastAsia="zh-CN"/>
        </w:rPr>
      </w:pPr>
      <w:r>
        <w:rPr>
          <w:rFonts w:hint="eastAsia" w:ascii="宋体" w:hAnsi="宋体" w:cs="宋体"/>
          <w:b/>
          <w:sz w:val="24"/>
          <w:szCs w:val="24"/>
          <w:lang w:val="en-US" w:eastAsia="zh-CN"/>
        </w:rPr>
        <w:t>3、</w:t>
      </w:r>
      <w:r>
        <w:rPr>
          <w:rFonts w:hint="eastAsia" w:ascii="宋体" w:hAnsi="宋体" w:cs="宋体"/>
          <w:b/>
          <w:sz w:val="24"/>
          <w:szCs w:val="24"/>
        </w:rPr>
        <w:t>付款方式：</w:t>
      </w:r>
      <w:r>
        <w:rPr>
          <w:rFonts w:hint="eastAsia" w:ascii="宋体" w:hAnsi="宋体" w:cs="宋体"/>
          <w:b/>
          <w:sz w:val="24"/>
          <w:szCs w:val="24"/>
          <w:lang w:val="en-US" w:eastAsia="zh-CN"/>
        </w:rPr>
        <w:t>以合同签订为准。</w:t>
      </w:r>
    </w:p>
    <w:p>
      <w:pPr>
        <w:spacing w:line="500" w:lineRule="exact"/>
        <w:ind w:firstLine="482" w:firstLineChars="200"/>
        <w:rPr>
          <w:rFonts w:ascii="宋体" w:hAnsi="宋体" w:cs="宋体"/>
          <w:b/>
          <w:sz w:val="24"/>
        </w:rPr>
      </w:pPr>
      <w:r>
        <w:rPr>
          <w:rFonts w:hint="eastAsia" w:ascii="宋体" w:hAnsi="宋体" w:cs="宋体"/>
          <w:b/>
          <w:sz w:val="24"/>
        </w:rPr>
        <w:t>23、投标文件的澄清</w:t>
      </w:r>
    </w:p>
    <w:p>
      <w:pPr>
        <w:spacing w:line="500" w:lineRule="exact"/>
        <w:ind w:firstLine="480" w:firstLineChars="200"/>
        <w:rPr>
          <w:rFonts w:ascii="宋体" w:hAnsi="宋体" w:cs="宋体"/>
          <w:sz w:val="24"/>
        </w:rPr>
      </w:pPr>
      <w:r>
        <w:rPr>
          <w:rFonts w:hint="eastAsia" w:ascii="宋体" w:hAnsi="宋体" w:cs="宋体"/>
          <w:sz w:val="24"/>
        </w:rPr>
        <w:t>23.1 评标委员会在评标过程中有权随时请投标人就投标文件中含混之处加以澄清或答疑。</w:t>
      </w:r>
    </w:p>
    <w:p>
      <w:pPr>
        <w:spacing w:line="500" w:lineRule="exact"/>
        <w:ind w:firstLine="480" w:firstLineChars="200"/>
        <w:rPr>
          <w:rFonts w:ascii="宋体" w:hAnsi="宋体" w:cs="宋体"/>
          <w:sz w:val="24"/>
        </w:rPr>
      </w:pPr>
      <w:r>
        <w:rPr>
          <w:rFonts w:hint="eastAsia" w:ascii="宋体" w:hAnsi="宋体" w:cs="宋体"/>
          <w:sz w:val="24"/>
        </w:rPr>
        <w:t>23.2 投标人对要求澄清的问题应以书面形式明确答复，并应有法人授权代表的签署。</w:t>
      </w:r>
    </w:p>
    <w:p>
      <w:pPr>
        <w:spacing w:line="500" w:lineRule="exact"/>
        <w:ind w:firstLine="480" w:firstLineChars="200"/>
        <w:rPr>
          <w:rFonts w:ascii="宋体" w:hAnsi="宋体" w:cs="宋体"/>
          <w:sz w:val="24"/>
        </w:rPr>
      </w:pPr>
      <w:r>
        <w:rPr>
          <w:rFonts w:hint="eastAsia" w:ascii="宋体" w:hAnsi="宋体" w:cs="宋体"/>
          <w:sz w:val="24"/>
        </w:rPr>
        <w:t>23.3 投标人的澄清文件是投标文件的组成部分，并取代投标文件中被澄清的部分。</w:t>
      </w:r>
    </w:p>
    <w:p>
      <w:pPr>
        <w:spacing w:line="500" w:lineRule="exact"/>
        <w:ind w:firstLine="480" w:firstLineChars="200"/>
        <w:rPr>
          <w:rFonts w:ascii="宋体" w:hAnsi="宋体" w:cs="宋体"/>
          <w:sz w:val="24"/>
        </w:rPr>
      </w:pPr>
      <w:r>
        <w:rPr>
          <w:rFonts w:hint="eastAsia" w:ascii="宋体" w:hAnsi="宋体" w:cs="宋体"/>
          <w:sz w:val="24"/>
        </w:rPr>
        <w:t>23.4 投标文件的澄清不得改变投标的实质内容。</w:t>
      </w:r>
    </w:p>
    <w:p>
      <w:pPr>
        <w:spacing w:line="500" w:lineRule="exact"/>
        <w:ind w:firstLine="480" w:firstLineChars="200"/>
        <w:rPr>
          <w:rFonts w:ascii="宋体" w:hAnsi="宋体" w:cs="宋体"/>
          <w:sz w:val="24"/>
        </w:rPr>
      </w:pPr>
      <w:r>
        <w:rPr>
          <w:rFonts w:hint="eastAsia" w:ascii="宋体" w:hAnsi="宋体" w:cs="宋体"/>
          <w:sz w:val="24"/>
        </w:rPr>
        <w:t>23.5如果投标人在投标文件中未对招标文件中的条款或参数要求提出偏离意见或澄清将视同投标人同意招标文件的全部或部分要求。</w:t>
      </w:r>
    </w:p>
    <w:p>
      <w:pPr>
        <w:numPr>
          <w:ilvl w:val="0"/>
          <w:numId w:val="8"/>
        </w:numPr>
        <w:spacing w:line="500" w:lineRule="exact"/>
        <w:ind w:firstLine="482" w:firstLineChars="200"/>
        <w:rPr>
          <w:rFonts w:hint="eastAsia" w:ascii="宋体" w:hAnsi="宋体" w:cs="宋体"/>
          <w:b/>
          <w:sz w:val="24"/>
        </w:rPr>
      </w:pPr>
      <w:r>
        <w:rPr>
          <w:rFonts w:hint="eastAsia" w:ascii="宋体" w:hAnsi="宋体" w:cs="宋体"/>
          <w:b/>
          <w:sz w:val="24"/>
        </w:rPr>
        <w:t>定标</w:t>
      </w:r>
    </w:p>
    <w:p>
      <w:pPr>
        <w:pStyle w:val="2"/>
        <w:numPr>
          <w:ilvl w:val="0"/>
          <w:numId w:val="0"/>
        </w:numPr>
      </w:pPr>
    </w:p>
    <w:p>
      <w:pPr>
        <w:spacing w:line="500" w:lineRule="exact"/>
        <w:ind w:firstLine="480" w:firstLineChars="200"/>
        <w:rPr>
          <w:rFonts w:ascii="宋体" w:hAnsi="宋体" w:cs="宋体"/>
          <w:sz w:val="24"/>
        </w:rPr>
      </w:pPr>
      <w:r>
        <w:rPr>
          <w:rFonts w:hint="eastAsia" w:ascii="宋体" w:hAnsi="宋体" w:cs="宋体"/>
          <w:sz w:val="24"/>
        </w:rPr>
        <w:t>24.1 评标委员会有权选择和拒绝投标人中标，且无需向投标人进行任何有关评标的解释工作。</w:t>
      </w:r>
    </w:p>
    <w:p>
      <w:pPr>
        <w:spacing w:line="500" w:lineRule="exact"/>
        <w:ind w:left="120" w:leftChars="57" w:firstLine="360" w:firstLineChars="150"/>
        <w:rPr>
          <w:rFonts w:ascii="宋体" w:hAnsi="宋体" w:cs="宋体"/>
          <w:b/>
          <w:color w:val="FF0000"/>
          <w:sz w:val="24"/>
        </w:rPr>
      </w:pPr>
      <w:r>
        <w:rPr>
          <w:rFonts w:hint="eastAsia" w:ascii="宋体" w:hAnsi="宋体" w:cs="宋体"/>
          <w:sz w:val="24"/>
        </w:rPr>
        <w:t>24.2 评标委员会通过上述评标方法以最终合计得分【为所有评委评分总和的算术平均值】，并按得分由高到低顺序排列，选择前三名投标人依次推荐为第一名、第二名和第三名中标候选人推荐中标候选人。当评标人得分相等时，以评标价较低者优先。</w:t>
      </w:r>
    </w:p>
    <w:p>
      <w:pPr>
        <w:spacing w:line="500" w:lineRule="exact"/>
        <w:ind w:firstLine="482" w:firstLineChars="200"/>
        <w:rPr>
          <w:rFonts w:ascii="宋体" w:hAnsi="宋体" w:cs="宋体"/>
          <w:b/>
          <w:sz w:val="24"/>
        </w:rPr>
      </w:pPr>
      <w:r>
        <w:rPr>
          <w:rFonts w:hint="eastAsia" w:ascii="宋体" w:hAnsi="宋体" w:cs="宋体"/>
          <w:b/>
          <w:sz w:val="24"/>
        </w:rPr>
        <w:t>25、中标的标准</w:t>
      </w:r>
    </w:p>
    <w:p>
      <w:pPr>
        <w:spacing w:line="500" w:lineRule="exact"/>
        <w:ind w:firstLine="480" w:firstLineChars="200"/>
        <w:rPr>
          <w:rFonts w:ascii="宋体" w:hAnsi="宋体" w:cs="宋体"/>
          <w:sz w:val="24"/>
        </w:rPr>
      </w:pPr>
      <w:r>
        <w:rPr>
          <w:rFonts w:hint="eastAsia" w:ascii="宋体" w:hAnsi="宋体" w:cs="宋体"/>
          <w:sz w:val="24"/>
        </w:rPr>
        <w:t>25.1 资格审查文件完整无缺；</w:t>
      </w:r>
    </w:p>
    <w:p>
      <w:pPr>
        <w:spacing w:line="500" w:lineRule="exact"/>
        <w:ind w:firstLine="480" w:firstLineChars="200"/>
        <w:rPr>
          <w:rFonts w:ascii="宋体" w:hAnsi="宋体" w:cs="宋体"/>
          <w:sz w:val="24"/>
        </w:rPr>
      </w:pPr>
      <w:r>
        <w:rPr>
          <w:rFonts w:hint="eastAsia" w:ascii="宋体" w:hAnsi="宋体" w:cs="宋体"/>
          <w:sz w:val="24"/>
        </w:rPr>
        <w:t>25.2 已交纳投标保证金；</w:t>
      </w:r>
    </w:p>
    <w:p>
      <w:pPr>
        <w:spacing w:line="500" w:lineRule="exact"/>
        <w:ind w:firstLine="480" w:firstLineChars="200"/>
        <w:rPr>
          <w:rFonts w:ascii="宋体" w:hAnsi="宋体" w:cs="宋体"/>
          <w:sz w:val="24"/>
        </w:rPr>
      </w:pPr>
      <w:r>
        <w:rPr>
          <w:rFonts w:hint="eastAsia" w:ascii="宋体" w:hAnsi="宋体" w:cs="宋体"/>
          <w:sz w:val="24"/>
        </w:rPr>
        <w:t>25.3 报价合理，承诺条件优惠；</w:t>
      </w:r>
    </w:p>
    <w:p>
      <w:pPr>
        <w:spacing w:line="500" w:lineRule="exact"/>
        <w:ind w:firstLine="480" w:firstLineChars="200"/>
        <w:rPr>
          <w:rFonts w:ascii="宋体" w:hAnsi="宋体" w:cs="宋体"/>
          <w:sz w:val="24"/>
        </w:rPr>
      </w:pPr>
      <w:r>
        <w:rPr>
          <w:rFonts w:hint="eastAsia" w:ascii="宋体" w:hAnsi="宋体" w:cs="宋体"/>
          <w:sz w:val="24"/>
        </w:rPr>
        <w:t>25.4 投标文件与招标文件无重大偏离；</w:t>
      </w:r>
    </w:p>
    <w:p>
      <w:pPr>
        <w:spacing w:line="500" w:lineRule="exact"/>
        <w:ind w:firstLine="480" w:firstLineChars="200"/>
        <w:rPr>
          <w:rFonts w:ascii="宋体" w:hAnsi="宋体" w:cs="宋体"/>
          <w:sz w:val="24"/>
        </w:rPr>
      </w:pPr>
      <w:r>
        <w:rPr>
          <w:rFonts w:hint="eastAsia" w:ascii="宋体" w:hAnsi="宋体" w:cs="宋体"/>
          <w:sz w:val="24"/>
        </w:rPr>
        <w:t>25.5 有较强的技术力量，能提供完善的技术服务，有较好的行业业绩；</w:t>
      </w:r>
    </w:p>
    <w:p>
      <w:pPr>
        <w:spacing w:line="500" w:lineRule="exact"/>
        <w:ind w:firstLine="480" w:firstLineChars="200"/>
        <w:rPr>
          <w:rFonts w:ascii="宋体" w:hAnsi="宋体" w:cs="宋体"/>
          <w:sz w:val="24"/>
        </w:rPr>
      </w:pPr>
      <w:r>
        <w:rPr>
          <w:rFonts w:hint="eastAsia" w:ascii="宋体" w:hAnsi="宋体" w:cs="宋体"/>
          <w:sz w:val="24"/>
        </w:rPr>
        <w:t>25.6 其他；</w:t>
      </w:r>
    </w:p>
    <w:p>
      <w:pPr>
        <w:spacing w:line="500" w:lineRule="exact"/>
        <w:ind w:firstLine="480" w:firstLineChars="200"/>
        <w:rPr>
          <w:rFonts w:ascii="宋体" w:hAnsi="宋体" w:cs="宋体"/>
          <w:sz w:val="24"/>
        </w:rPr>
      </w:pPr>
      <w:r>
        <w:rPr>
          <w:rFonts w:hint="eastAsia" w:ascii="宋体" w:hAnsi="宋体" w:cs="宋体"/>
          <w:sz w:val="24"/>
        </w:rPr>
        <w:t>25.7 在合同签订之前，招标人和招标代理人有权对中标单位的履约能力进行最后审查，审查方式包括询问、调查和实地考察，如发现中标单位提供的投标文件中有虚假或对招标书所要求说明的情况故意隐瞒或虚报，则有权取消其中标资格，其投标保证金不予退回，并在有效期内另行评定中标者。</w:t>
      </w:r>
    </w:p>
    <w:p>
      <w:pPr>
        <w:spacing w:line="500" w:lineRule="exact"/>
        <w:ind w:firstLine="482" w:firstLineChars="200"/>
        <w:rPr>
          <w:rFonts w:ascii="宋体" w:hAnsi="宋体" w:cs="宋体"/>
          <w:b/>
          <w:sz w:val="24"/>
        </w:rPr>
      </w:pPr>
      <w:r>
        <w:rPr>
          <w:rFonts w:hint="eastAsia" w:ascii="宋体" w:hAnsi="宋体" w:cs="宋体"/>
          <w:b/>
          <w:sz w:val="24"/>
        </w:rPr>
        <w:t>26、中标通知</w:t>
      </w:r>
    </w:p>
    <w:p>
      <w:pPr>
        <w:spacing w:line="500" w:lineRule="exact"/>
        <w:ind w:firstLine="480" w:firstLineChars="200"/>
        <w:rPr>
          <w:rFonts w:ascii="宋体" w:hAnsi="宋体" w:cs="宋体"/>
          <w:sz w:val="24"/>
        </w:rPr>
      </w:pPr>
      <w:r>
        <w:rPr>
          <w:rFonts w:hint="eastAsia" w:ascii="宋体" w:hAnsi="宋体" w:cs="宋体"/>
          <w:sz w:val="24"/>
        </w:rPr>
        <w:t>26.1中标公示期：</w:t>
      </w:r>
      <w:r>
        <w:rPr>
          <w:rFonts w:hint="eastAsia" w:ascii="宋体" w:hAnsi="宋体" w:cs="宋体"/>
          <w:sz w:val="24"/>
          <w:u w:val="single"/>
        </w:rPr>
        <w:t>中标结果公示一个工作日。</w:t>
      </w:r>
    </w:p>
    <w:p>
      <w:pPr>
        <w:spacing w:line="500" w:lineRule="exact"/>
        <w:ind w:firstLine="480" w:firstLineChars="200"/>
        <w:rPr>
          <w:rFonts w:ascii="宋体" w:hAnsi="宋体" w:cs="宋体"/>
          <w:sz w:val="24"/>
        </w:rPr>
      </w:pPr>
      <w:r>
        <w:rPr>
          <w:rFonts w:hint="eastAsia" w:ascii="宋体" w:hAnsi="宋体" w:cs="宋体"/>
          <w:sz w:val="24"/>
        </w:rPr>
        <w:t>26.2招标代理机构根据定标结果，在投标有效期届满前，以书面形式向中标单位发出中标通知书。</w:t>
      </w:r>
    </w:p>
    <w:p>
      <w:pPr>
        <w:spacing w:line="500" w:lineRule="exact"/>
        <w:ind w:firstLine="480" w:firstLineChars="200"/>
        <w:rPr>
          <w:rFonts w:ascii="宋体" w:hAnsi="宋体" w:cs="宋体"/>
          <w:sz w:val="24"/>
        </w:rPr>
      </w:pPr>
      <w:r>
        <w:rPr>
          <w:rFonts w:hint="eastAsia" w:ascii="宋体" w:hAnsi="宋体" w:cs="宋体"/>
          <w:sz w:val="24"/>
        </w:rPr>
        <w:t>26.3招标代理机构将定标结果及时通知未中标单位并退还投标保证金。无需解释落标原因。</w:t>
      </w:r>
    </w:p>
    <w:p>
      <w:pPr>
        <w:spacing w:line="500" w:lineRule="exact"/>
        <w:ind w:firstLine="482" w:firstLineChars="200"/>
        <w:rPr>
          <w:rFonts w:ascii="宋体" w:hAnsi="宋体" w:cs="宋体"/>
          <w:b/>
          <w:sz w:val="24"/>
        </w:rPr>
      </w:pPr>
      <w:r>
        <w:rPr>
          <w:rFonts w:hint="eastAsia" w:ascii="宋体" w:hAnsi="宋体" w:cs="宋体"/>
          <w:b/>
          <w:sz w:val="24"/>
        </w:rPr>
        <w:t>27、拒绝某些或所有投标的权力</w:t>
      </w:r>
    </w:p>
    <w:p>
      <w:pPr>
        <w:spacing w:line="500" w:lineRule="exact"/>
        <w:ind w:firstLine="480" w:firstLineChars="200"/>
        <w:rPr>
          <w:rFonts w:ascii="宋体" w:hAnsi="宋体" w:cs="宋体"/>
          <w:sz w:val="24"/>
        </w:rPr>
      </w:pPr>
      <w:r>
        <w:rPr>
          <w:rFonts w:hint="eastAsia" w:ascii="宋体" w:hAnsi="宋体" w:cs="宋体"/>
          <w:sz w:val="24"/>
        </w:rPr>
        <w:t>27.1招标人有权在定标之前拒绝任何有不正当行为或扰乱正常招标工作的投标人，由此对投标人造成的损失不负任何责任，同时对此无需做任何解释。</w:t>
      </w:r>
    </w:p>
    <w:p>
      <w:pPr>
        <w:widowControl/>
        <w:spacing w:line="500" w:lineRule="exact"/>
        <w:ind w:firstLine="236" w:firstLineChars="98"/>
        <w:rPr>
          <w:rFonts w:ascii="宋体" w:hAnsi="宋体" w:cs="宋体"/>
          <w:b/>
          <w:color w:val="FF0000"/>
          <w:kern w:val="0"/>
          <w:sz w:val="24"/>
        </w:rPr>
      </w:pPr>
      <w:r>
        <w:rPr>
          <w:rFonts w:hint="eastAsia" w:ascii="宋体" w:hAnsi="宋体" w:cs="宋体"/>
          <w:b/>
          <w:kern w:val="0"/>
          <w:sz w:val="24"/>
        </w:rPr>
        <w:t xml:space="preserve">  28、</w:t>
      </w:r>
      <w:r>
        <w:rPr>
          <w:rFonts w:hint="eastAsia" w:ascii="宋体" w:hAnsi="宋体" w:cs="宋体"/>
          <w:b/>
          <w:color w:val="000000"/>
          <w:sz w:val="24"/>
        </w:rPr>
        <w:t>付款方式</w:t>
      </w:r>
      <w:r>
        <w:rPr>
          <w:rFonts w:hint="eastAsia" w:ascii="宋体" w:hAnsi="宋体" w:cs="宋体"/>
          <w:b/>
          <w:color w:val="000000"/>
          <w:kern w:val="0"/>
          <w:sz w:val="24"/>
        </w:rPr>
        <w:t>：</w:t>
      </w:r>
      <w:r>
        <w:rPr>
          <w:rFonts w:hint="eastAsia" w:ascii="宋体" w:hAnsi="宋体" w:cs="宋体"/>
          <w:b/>
          <w:color w:val="000000"/>
          <w:sz w:val="24"/>
        </w:rPr>
        <w:t>详见投标须知前附表及招标书特别提示。</w:t>
      </w:r>
    </w:p>
    <w:p>
      <w:pPr>
        <w:spacing w:line="500" w:lineRule="exact"/>
        <w:ind w:left="120" w:hanging="120"/>
        <w:jc w:val="center"/>
        <w:rPr>
          <w:rFonts w:hint="eastAsia" w:ascii="宋体" w:hAnsi="宋体" w:cs="宋体"/>
          <w:b/>
          <w:sz w:val="24"/>
        </w:rPr>
      </w:pPr>
    </w:p>
    <w:p>
      <w:pPr>
        <w:spacing w:line="500" w:lineRule="exact"/>
        <w:ind w:left="120" w:hanging="120"/>
        <w:jc w:val="center"/>
        <w:rPr>
          <w:rFonts w:hint="eastAsia" w:ascii="宋体" w:hAnsi="宋体" w:cs="宋体"/>
          <w:b/>
          <w:sz w:val="24"/>
        </w:rPr>
      </w:pPr>
    </w:p>
    <w:p>
      <w:pPr>
        <w:spacing w:line="500" w:lineRule="exact"/>
        <w:ind w:left="120" w:hanging="120"/>
        <w:jc w:val="center"/>
        <w:rPr>
          <w:rFonts w:ascii="宋体" w:hAnsi="宋体" w:cs="宋体"/>
          <w:b/>
          <w:sz w:val="24"/>
        </w:rPr>
      </w:pPr>
      <w:r>
        <w:rPr>
          <w:rFonts w:hint="eastAsia" w:ascii="宋体" w:hAnsi="宋体" w:cs="宋体"/>
          <w:b/>
          <w:sz w:val="24"/>
        </w:rPr>
        <w:t>七、签定合同</w:t>
      </w:r>
    </w:p>
    <w:p>
      <w:pPr>
        <w:spacing w:line="500" w:lineRule="exact"/>
        <w:ind w:firstLine="482" w:firstLineChars="200"/>
        <w:rPr>
          <w:rFonts w:ascii="宋体" w:hAnsi="宋体" w:cs="宋体"/>
          <w:b/>
          <w:sz w:val="24"/>
        </w:rPr>
      </w:pPr>
      <w:r>
        <w:rPr>
          <w:rFonts w:hint="eastAsia" w:ascii="宋体" w:hAnsi="宋体" w:cs="宋体"/>
          <w:b/>
          <w:sz w:val="24"/>
        </w:rPr>
        <w:t>29、签定合同</w:t>
      </w:r>
    </w:p>
    <w:p>
      <w:pPr>
        <w:spacing w:line="500" w:lineRule="exact"/>
        <w:ind w:firstLine="480" w:firstLineChars="200"/>
        <w:rPr>
          <w:rFonts w:ascii="宋体" w:hAnsi="宋体" w:cs="宋体"/>
          <w:sz w:val="24"/>
        </w:rPr>
      </w:pPr>
      <w:r>
        <w:rPr>
          <w:rFonts w:hint="eastAsia" w:ascii="宋体" w:hAnsi="宋体" w:cs="宋体"/>
          <w:sz w:val="24"/>
        </w:rPr>
        <w:t>29.1 招标人和中标人在自中标通知书发出之日起30日内，依据《中华人民共和国经济合同法》和有关法规及招、投标文件签定合同。</w:t>
      </w:r>
    </w:p>
    <w:p>
      <w:pPr>
        <w:spacing w:line="500" w:lineRule="exact"/>
        <w:ind w:firstLine="480" w:firstLineChars="200"/>
        <w:rPr>
          <w:rFonts w:ascii="宋体" w:hAnsi="宋体" w:cs="宋体"/>
          <w:sz w:val="24"/>
        </w:rPr>
      </w:pPr>
      <w:r>
        <w:rPr>
          <w:rFonts w:hint="eastAsia" w:ascii="宋体" w:hAnsi="宋体" w:cs="宋体"/>
          <w:sz w:val="24"/>
        </w:rPr>
        <w:t>29.2 中标合同不得转让。合同分包需在投标文件中予以说明，并需经招标人同意。否则，招标人有权取消中标人的中标资格。</w:t>
      </w:r>
    </w:p>
    <w:p>
      <w:pPr>
        <w:spacing w:line="500" w:lineRule="exact"/>
        <w:ind w:firstLine="480" w:firstLineChars="200"/>
        <w:rPr>
          <w:rFonts w:ascii="宋体" w:hAnsi="宋体" w:cs="宋体"/>
          <w:sz w:val="24"/>
        </w:rPr>
      </w:pPr>
      <w:r>
        <w:rPr>
          <w:rFonts w:hint="eastAsia" w:ascii="宋体" w:hAnsi="宋体" w:cs="宋体"/>
          <w:sz w:val="24"/>
        </w:rPr>
        <w:t>29.3 招标人如遇中标人违约，可从侯选中标人中重新选定中标人，并签定经济合同。</w:t>
      </w:r>
    </w:p>
    <w:p>
      <w:pPr>
        <w:spacing w:line="500" w:lineRule="exact"/>
        <w:ind w:firstLine="480" w:firstLineChars="200"/>
        <w:rPr>
          <w:rFonts w:ascii="宋体" w:hAnsi="宋体" w:cs="宋体"/>
          <w:sz w:val="24"/>
        </w:rPr>
      </w:pPr>
      <w:r>
        <w:rPr>
          <w:rFonts w:hint="eastAsia" w:ascii="宋体" w:hAnsi="宋体" w:cs="宋体"/>
          <w:sz w:val="24"/>
        </w:rPr>
        <w:t>29.4 合同的制订由招标人、中标人、招标代理机构三方参加，为确保合同双方的利益均等，由招标代理机构在合同制订过程中进行协调。</w:t>
      </w:r>
    </w:p>
    <w:p>
      <w:pPr>
        <w:spacing w:line="500" w:lineRule="exact"/>
        <w:ind w:firstLine="482" w:firstLineChars="200"/>
        <w:rPr>
          <w:rFonts w:ascii="宋体" w:hAnsi="宋体" w:cs="宋体"/>
          <w:b/>
          <w:sz w:val="24"/>
        </w:rPr>
      </w:pPr>
      <w:r>
        <w:rPr>
          <w:rFonts w:hint="eastAsia" w:ascii="宋体" w:hAnsi="宋体" w:cs="宋体"/>
          <w:b/>
          <w:sz w:val="24"/>
        </w:rPr>
        <w:t>29.5 合同一式三份，需经招标人、中标人双方签字盖章后即生效。招标人、中标人亦可自愿申请公证。</w:t>
      </w:r>
    </w:p>
    <w:p>
      <w:pPr>
        <w:spacing w:line="500" w:lineRule="exact"/>
        <w:ind w:firstLine="482" w:firstLineChars="200"/>
        <w:rPr>
          <w:rFonts w:ascii="宋体" w:hAnsi="宋体" w:cs="宋体"/>
          <w:b/>
          <w:sz w:val="24"/>
        </w:rPr>
      </w:pPr>
      <w:r>
        <w:rPr>
          <w:rFonts w:hint="eastAsia" w:ascii="宋体" w:hAnsi="宋体" w:cs="宋体"/>
          <w:b/>
          <w:sz w:val="24"/>
        </w:rPr>
        <w:t>30、合同的组成</w:t>
      </w:r>
    </w:p>
    <w:p>
      <w:pPr>
        <w:spacing w:line="500" w:lineRule="exact"/>
        <w:ind w:firstLine="480" w:firstLineChars="200"/>
        <w:rPr>
          <w:rFonts w:ascii="宋体" w:hAnsi="宋体" w:cs="宋体"/>
          <w:sz w:val="24"/>
        </w:rPr>
      </w:pPr>
      <w:r>
        <w:rPr>
          <w:rFonts w:hint="eastAsia" w:ascii="宋体" w:hAnsi="宋体" w:cs="宋体"/>
          <w:sz w:val="24"/>
        </w:rPr>
        <w:t>30.1 下列文件均为合同不可分割部分：</w:t>
      </w:r>
    </w:p>
    <w:p>
      <w:pPr>
        <w:spacing w:line="500" w:lineRule="exact"/>
        <w:ind w:firstLine="480" w:firstLineChars="200"/>
        <w:rPr>
          <w:rFonts w:ascii="宋体" w:hAnsi="宋体" w:cs="宋体"/>
          <w:sz w:val="24"/>
        </w:rPr>
      </w:pPr>
      <w:r>
        <w:rPr>
          <w:rFonts w:hint="eastAsia" w:ascii="宋体" w:hAnsi="宋体" w:cs="宋体"/>
          <w:sz w:val="24"/>
        </w:rPr>
        <w:t>30.1.1 专用合同；</w:t>
      </w:r>
    </w:p>
    <w:p>
      <w:pPr>
        <w:spacing w:line="500" w:lineRule="exact"/>
        <w:ind w:firstLine="480" w:firstLineChars="200"/>
        <w:rPr>
          <w:rFonts w:ascii="宋体" w:hAnsi="宋体" w:cs="宋体"/>
          <w:sz w:val="24"/>
        </w:rPr>
      </w:pPr>
      <w:r>
        <w:rPr>
          <w:rFonts w:hint="eastAsia" w:ascii="宋体" w:hAnsi="宋体" w:cs="宋体"/>
          <w:sz w:val="24"/>
        </w:rPr>
        <w:t>30.1.2 合同条款；</w:t>
      </w:r>
    </w:p>
    <w:p>
      <w:pPr>
        <w:spacing w:line="500" w:lineRule="exact"/>
        <w:ind w:firstLine="480" w:firstLineChars="200"/>
        <w:rPr>
          <w:rFonts w:ascii="宋体" w:hAnsi="宋体" w:cs="宋体"/>
          <w:sz w:val="24"/>
        </w:rPr>
      </w:pPr>
      <w:r>
        <w:rPr>
          <w:rFonts w:hint="eastAsia" w:ascii="宋体" w:hAnsi="宋体" w:cs="宋体"/>
          <w:sz w:val="24"/>
        </w:rPr>
        <w:t>30.1.3 中标通知书；</w:t>
      </w:r>
    </w:p>
    <w:p>
      <w:pPr>
        <w:spacing w:line="500" w:lineRule="exact"/>
        <w:ind w:firstLine="480" w:firstLineChars="200"/>
        <w:rPr>
          <w:rFonts w:ascii="宋体" w:hAnsi="宋体" w:cs="宋体"/>
          <w:sz w:val="24"/>
        </w:rPr>
      </w:pPr>
      <w:r>
        <w:rPr>
          <w:rFonts w:hint="eastAsia" w:ascii="宋体" w:hAnsi="宋体" w:cs="宋体"/>
          <w:sz w:val="24"/>
        </w:rPr>
        <w:t>30.1.4 乙方中标的投标文件；</w:t>
      </w:r>
    </w:p>
    <w:p>
      <w:pPr>
        <w:spacing w:line="500" w:lineRule="exact"/>
        <w:ind w:firstLine="480" w:firstLineChars="200"/>
        <w:rPr>
          <w:rFonts w:ascii="宋体" w:hAnsi="宋体" w:cs="宋体"/>
          <w:sz w:val="24"/>
        </w:rPr>
      </w:pPr>
      <w:r>
        <w:rPr>
          <w:rFonts w:hint="eastAsia" w:ascii="宋体" w:hAnsi="宋体" w:cs="宋体"/>
          <w:sz w:val="24"/>
        </w:rPr>
        <w:t>30.1.5 招标文件；</w:t>
      </w:r>
    </w:p>
    <w:p>
      <w:pPr>
        <w:spacing w:line="500" w:lineRule="exact"/>
        <w:ind w:firstLine="480" w:firstLineChars="200"/>
        <w:rPr>
          <w:rFonts w:hint="eastAsia" w:ascii="宋体" w:hAnsi="宋体" w:cs="宋体"/>
          <w:sz w:val="24"/>
        </w:rPr>
      </w:pPr>
      <w:r>
        <w:rPr>
          <w:rFonts w:hint="eastAsia" w:ascii="宋体" w:hAnsi="宋体" w:cs="宋体"/>
          <w:sz w:val="24"/>
        </w:rPr>
        <w:t>30.1.6 评标答疑记录。</w:t>
      </w:r>
    </w:p>
    <w:p>
      <w:pPr>
        <w:spacing w:line="500" w:lineRule="exact"/>
        <w:ind w:firstLine="482" w:firstLineChars="200"/>
        <w:rPr>
          <w:rFonts w:hint="eastAsia" w:ascii="宋体" w:hAnsi="宋体" w:cs="宋体"/>
          <w:b/>
          <w:bCs/>
          <w:sz w:val="24"/>
        </w:rPr>
      </w:pPr>
      <w:r>
        <w:rPr>
          <w:rFonts w:hint="eastAsia" w:ascii="宋体" w:hAnsi="宋体" w:cs="宋体"/>
          <w:b/>
          <w:bCs/>
          <w:sz w:val="24"/>
        </w:rPr>
        <w:t>31、履约保证金</w:t>
      </w:r>
    </w:p>
    <w:p>
      <w:pPr>
        <w:spacing w:line="500" w:lineRule="exact"/>
        <w:ind w:firstLine="480" w:firstLineChars="200"/>
        <w:rPr>
          <w:rFonts w:hint="eastAsia" w:ascii="宋体" w:hAnsi="宋体" w:cs="宋体"/>
          <w:sz w:val="24"/>
          <w:lang w:val="en-US" w:eastAsia="zh-CN"/>
        </w:rPr>
      </w:pPr>
      <w:r>
        <w:rPr>
          <w:rFonts w:hint="eastAsia" w:ascii="宋体" w:hAnsi="宋体" w:cs="宋体"/>
          <w:sz w:val="24"/>
        </w:rPr>
        <w:t xml:space="preserve">31.1 </w:t>
      </w:r>
      <w:r>
        <w:rPr>
          <w:rFonts w:hint="eastAsia" w:ascii="宋体" w:hAnsi="宋体" w:cs="宋体"/>
          <w:sz w:val="24"/>
          <w:lang w:val="en-US" w:eastAsia="zh-CN"/>
        </w:rPr>
        <w:t>中标人在收到中标通知书后，应按照合同条款的规定，向招标方提交履约保证金，如中标人未按招标文件规定的工期供货、安装和调试完毕，则扣除履约保证金。</w:t>
      </w:r>
    </w:p>
    <w:p>
      <w:pPr>
        <w:spacing w:line="500" w:lineRule="exact"/>
        <w:ind w:firstLine="480" w:firstLineChars="200"/>
      </w:pPr>
      <w:r>
        <w:rPr>
          <w:rFonts w:hint="eastAsia" w:ascii="宋体" w:hAnsi="宋体" w:cs="宋体"/>
          <w:sz w:val="24"/>
        </w:rPr>
        <w:t xml:space="preserve">31.2 </w:t>
      </w:r>
      <w:r>
        <w:rPr>
          <w:rFonts w:hint="eastAsia" w:ascii="宋体" w:hAnsi="宋体" w:cs="宋体"/>
          <w:sz w:val="24"/>
          <w:lang w:val="en-US" w:eastAsia="zh-CN"/>
        </w:rPr>
        <w:t>履约保证金原则上不超过采购合同总金额的10%，履约完毕后，提供供货合同、验收单、收据、开户行资料等证明材料后七个工作日无息退还。</w:t>
      </w:r>
    </w:p>
    <w:p>
      <w:pPr>
        <w:numPr>
          <w:ilvl w:val="0"/>
          <w:numId w:val="9"/>
        </w:numPr>
        <w:spacing w:after="156" w:line="500" w:lineRule="exact"/>
        <w:ind w:left="120" w:hanging="120"/>
        <w:jc w:val="center"/>
        <w:rPr>
          <w:rFonts w:ascii="宋体" w:hAnsi="宋体" w:cs="宋体"/>
          <w:b/>
          <w:sz w:val="24"/>
        </w:rPr>
      </w:pPr>
      <w:r>
        <w:rPr>
          <w:rFonts w:hint="eastAsia" w:ascii="宋体" w:hAnsi="宋体" w:cs="宋体"/>
          <w:b/>
          <w:sz w:val="24"/>
        </w:rPr>
        <w:t>特别提示</w:t>
      </w:r>
    </w:p>
    <w:p>
      <w:pPr>
        <w:spacing w:line="500" w:lineRule="exact"/>
        <w:ind w:firstLine="480" w:firstLineChars="200"/>
        <w:rPr>
          <w:rFonts w:ascii="宋体" w:hAnsi="宋体" w:cs="宋体"/>
          <w:sz w:val="24"/>
        </w:rPr>
      </w:pPr>
      <w:r>
        <w:rPr>
          <w:rFonts w:hint="eastAsia" w:ascii="宋体" w:hAnsi="宋体" w:cs="宋体"/>
          <w:sz w:val="24"/>
        </w:rPr>
        <w:t>31、投标人应认真研读招标文件，充分考虑招标文件中的技术要求和合同条款后编制投标文件。</w:t>
      </w:r>
    </w:p>
    <w:p>
      <w:pPr>
        <w:spacing w:line="500" w:lineRule="exact"/>
        <w:ind w:firstLine="480" w:firstLineChars="200"/>
        <w:rPr>
          <w:rFonts w:ascii="宋体" w:hAnsi="宋体" w:cs="宋体"/>
          <w:b/>
          <w:sz w:val="24"/>
        </w:rPr>
      </w:pPr>
      <w:r>
        <w:rPr>
          <w:rFonts w:hint="eastAsia" w:ascii="宋体" w:hAnsi="宋体" w:cs="宋体"/>
          <w:sz w:val="24"/>
        </w:rPr>
        <w:t>32、如招标文件中未提供的各类表格样式，投标人可另行设计表格样式，但力求内容完整，表达清晰、准确。</w:t>
      </w:r>
    </w:p>
    <w:p>
      <w:pPr>
        <w:spacing w:before="156" w:after="156" w:line="500" w:lineRule="exact"/>
        <w:ind w:left="120" w:hanging="120"/>
        <w:jc w:val="center"/>
        <w:rPr>
          <w:rFonts w:hint="eastAsia" w:ascii="宋体" w:hAnsi="宋体" w:cs="宋体"/>
          <w:b/>
          <w:sz w:val="24"/>
        </w:rPr>
      </w:pPr>
    </w:p>
    <w:p>
      <w:pPr>
        <w:spacing w:before="156" w:after="156" w:line="500" w:lineRule="exact"/>
        <w:ind w:left="120" w:hanging="120"/>
        <w:jc w:val="center"/>
        <w:rPr>
          <w:rFonts w:ascii="宋体" w:hAnsi="宋体" w:cs="宋体"/>
          <w:b/>
          <w:sz w:val="24"/>
        </w:rPr>
      </w:pPr>
      <w:r>
        <w:rPr>
          <w:rFonts w:hint="eastAsia" w:ascii="宋体" w:hAnsi="宋体" w:cs="宋体"/>
          <w:b/>
          <w:sz w:val="24"/>
        </w:rPr>
        <w:t>九、其他事项</w:t>
      </w:r>
    </w:p>
    <w:p>
      <w:pPr>
        <w:spacing w:line="500" w:lineRule="exact"/>
        <w:ind w:firstLine="482" w:firstLineChars="200"/>
        <w:rPr>
          <w:rFonts w:ascii="宋体" w:hAnsi="宋体" w:cs="宋体"/>
          <w:b/>
          <w:sz w:val="24"/>
        </w:rPr>
      </w:pPr>
      <w:r>
        <w:rPr>
          <w:rFonts w:hint="eastAsia" w:ascii="宋体" w:hAnsi="宋体" w:cs="宋体"/>
          <w:b/>
          <w:sz w:val="24"/>
        </w:rPr>
        <w:t>34、中标服务费</w:t>
      </w:r>
    </w:p>
    <w:p>
      <w:pPr>
        <w:spacing w:line="500" w:lineRule="exact"/>
        <w:ind w:firstLine="480" w:firstLineChars="200"/>
        <w:rPr>
          <w:rFonts w:hint="eastAsia" w:ascii="宋体" w:hAnsi="宋体" w:cs="宋体"/>
          <w:sz w:val="24"/>
          <w:lang w:val="en-US" w:eastAsia="zh-CN"/>
        </w:rPr>
      </w:pPr>
      <w:r>
        <w:rPr>
          <w:rFonts w:hint="eastAsia" w:ascii="宋体" w:hAnsi="宋体" w:cs="宋体"/>
          <w:sz w:val="24"/>
        </w:rPr>
        <w:t>34.1</w:t>
      </w:r>
      <w:r>
        <w:rPr>
          <w:rFonts w:hint="eastAsia" w:ascii="宋体" w:hAnsi="宋体" w:cs="宋体"/>
          <w:sz w:val="24"/>
          <w:lang w:val="en-US" w:eastAsia="zh-CN"/>
        </w:rPr>
        <w:t>招标人</w:t>
      </w:r>
      <w:r>
        <w:rPr>
          <w:rFonts w:hint="eastAsia" w:ascii="宋体" w:hAnsi="宋体" w:cs="宋体"/>
          <w:sz w:val="24"/>
        </w:rPr>
        <w:t>必须在招标工作结束后向</w:t>
      </w:r>
      <w:r>
        <w:rPr>
          <w:rFonts w:hint="eastAsia" w:ascii="宋体" w:hAnsi="宋体" w:cs="宋体"/>
          <w:sz w:val="24"/>
          <w:lang w:val="en-US" w:eastAsia="zh-CN"/>
        </w:rPr>
        <w:t>新疆天麒工程项目管理咨询有限责任公司</w:t>
      </w:r>
    </w:p>
    <w:p>
      <w:pPr>
        <w:spacing w:line="500" w:lineRule="exact"/>
        <w:rPr>
          <w:rFonts w:ascii="宋体" w:hAnsi="宋体" w:cs="宋体"/>
          <w:sz w:val="24"/>
          <w:u w:val="single"/>
        </w:rPr>
      </w:pPr>
      <w:r>
        <w:rPr>
          <w:rFonts w:hint="eastAsia" w:ascii="宋体" w:hAnsi="宋体" w:cs="宋体"/>
          <w:sz w:val="24"/>
        </w:rPr>
        <w:t>一次付清中标服务费。</w:t>
      </w:r>
    </w:p>
    <w:p>
      <w:pPr>
        <w:spacing w:line="500" w:lineRule="exact"/>
        <w:ind w:firstLine="480" w:firstLineChars="200"/>
        <w:rPr>
          <w:rFonts w:ascii="宋体" w:hAnsi="宋体" w:cs="宋体"/>
          <w:sz w:val="24"/>
        </w:rPr>
      </w:pPr>
      <w:r>
        <w:rPr>
          <w:rFonts w:hint="eastAsia" w:ascii="宋体" w:hAnsi="宋体" w:cs="宋体"/>
          <w:sz w:val="24"/>
        </w:rPr>
        <w:t>34.2 代理报酬为人民币：本项目招标代理费由</w:t>
      </w:r>
      <w:r>
        <w:rPr>
          <w:rFonts w:hint="eastAsia" w:ascii="宋体" w:hAnsi="宋体" w:cs="宋体"/>
          <w:sz w:val="24"/>
          <w:lang w:val="en-US" w:eastAsia="zh-CN"/>
        </w:rPr>
        <w:t>成交中标单位</w:t>
      </w:r>
      <w:r>
        <w:rPr>
          <w:rFonts w:hint="eastAsia" w:ascii="宋体" w:hAnsi="宋体" w:cs="宋体"/>
          <w:sz w:val="24"/>
        </w:rPr>
        <w:t>支付，</w:t>
      </w:r>
      <w:r>
        <w:rPr>
          <w:rFonts w:hint="eastAsia" w:ascii="宋体" w:hAnsi="宋体" w:cs="宋体"/>
          <w:sz w:val="24"/>
          <w:lang w:val="en-US" w:eastAsia="zh-CN"/>
        </w:rPr>
        <w:t>采用定额差率累计法，</w:t>
      </w:r>
      <w:r>
        <w:rPr>
          <w:rFonts w:hint="eastAsia" w:ascii="宋体" w:hAnsi="宋体" w:cs="宋体"/>
          <w:sz w:val="24"/>
        </w:rPr>
        <w:t>具体收费标准</w:t>
      </w:r>
      <w:r>
        <w:rPr>
          <w:rFonts w:hint="eastAsia" w:ascii="宋体" w:hAnsi="宋体" w:cs="宋体"/>
          <w:sz w:val="24"/>
          <w:lang w:val="en-US" w:eastAsia="zh-CN"/>
        </w:rPr>
        <w:t>如下:100万以下，中标价的1.5%；100万到500万，中标价的1.1%；500万到1000万，中标价的0.8%；1000万到5000万，中标价的0.5%；5000万到10000万，中标价的0.25%</w:t>
      </w:r>
      <w:r>
        <w:rPr>
          <w:rFonts w:hint="eastAsia" w:ascii="宋体" w:hAnsi="宋体" w:cs="宋体"/>
          <w:sz w:val="24"/>
          <w:lang w:eastAsia="zh-CN"/>
        </w:rPr>
        <w:t>。</w:t>
      </w:r>
    </w:p>
    <w:p>
      <w:pPr>
        <w:spacing w:line="500" w:lineRule="exact"/>
        <w:ind w:firstLine="480" w:firstLineChars="200"/>
        <w:rPr>
          <w:rFonts w:ascii="宋体" w:hAnsi="宋体" w:cs="宋体"/>
          <w:b/>
          <w:sz w:val="24"/>
        </w:rPr>
      </w:pPr>
      <w:r>
        <w:rPr>
          <w:rFonts w:hint="eastAsia" w:ascii="宋体" w:hAnsi="宋体" w:cs="宋体"/>
          <w:sz w:val="24"/>
        </w:rPr>
        <w:t>35、本招标文件是根据《中华人民共和国招标投标法》规定编制的，解释权属</w:t>
      </w:r>
      <w:r>
        <w:rPr>
          <w:rFonts w:hint="eastAsia" w:ascii="宋体" w:hAnsi="宋体" w:cs="宋体"/>
          <w:sz w:val="24"/>
          <w:lang w:val="en-US" w:eastAsia="zh-CN"/>
        </w:rPr>
        <w:t>新疆天麒工程项目管理咨询有限责任公司</w:t>
      </w:r>
      <w:r>
        <w:rPr>
          <w:rFonts w:hint="eastAsia" w:ascii="宋体" w:hAnsi="宋体" w:cs="宋体"/>
          <w:sz w:val="24"/>
        </w:rPr>
        <w:t>。</w:t>
      </w:r>
    </w:p>
    <w:p>
      <w:pPr>
        <w:spacing w:line="500" w:lineRule="exact"/>
        <w:ind w:left="120" w:hanging="120"/>
        <w:rPr>
          <w:rFonts w:ascii="宋体" w:hAnsi="宋体" w:cs="宋体"/>
          <w:b/>
          <w:sz w:val="24"/>
        </w:rPr>
      </w:pPr>
    </w:p>
    <w:p>
      <w:pPr>
        <w:pStyle w:val="5"/>
        <w:outlineLvl w:val="9"/>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numPr>
          <w:ilvl w:val="0"/>
          <w:numId w:val="0"/>
        </w:numPr>
        <w:spacing w:line="500" w:lineRule="exact"/>
        <w:ind w:right="62" w:rightChars="0"/>
        <w:jc w:val="both"/>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pStyle w:val="2"/>
        <w:rPr>
          <w:rFonts w:hint="eastAsia" w:ascii="宋体" w:hAnsi="宋体" w:cs="宋体"/>
          <w:b/>
          <w:sz w:val="24"/>
        </w:rPr>
      </w:pPr>
    </w:p>
    <w:p>
      <w:pPr>
        <w:numPr>
          <w:ilvl w:val="0"/>
          <w:numId w:val="10"/>
        </w:numPr>
        <w:spacing w:line="500" w:lineRule="exact"/>
        <w:ind w:right="62" w:rightChars="0" w:firstLine="3373" w:firstLineChars="1400"/>
        <w:jc w:val="both"/>
        <w:outlineLvl w:val="0"/>
        <w:rPr>
          <w:rFonts w:hint="eastAsia" w:ascii="宋体" w:hAnsi="宋体" w:cs="宋体"/>
          <w:b/>
          <w:sz w:val="24"/>
        </w:rPr>
      </w:pPr>
      <w:r>
        <w:rPr>
          <w:rFonts w:hint="eastAsia" w:ascii="宋体" w:hAnsi="宋体" w:cs="宋体"/>
          <w:b/>
          <w:sz w:val="24"/>
        </w:rPr>
        <w:t xml:space="preserve">  </w:t>
      </w:r>
      <w:bookmarkStart w:id="14" w:name="_Toc6378"/>
      <w:r>
        <w:rPr>
          <w:rFonts w:hint="eastAsia" w:ascii="宋体" w:hAnsi="宋体" w:cs="宋体"/>
          <w:b/>
          <w:sz w:val="24"/>
        </w:rPr>
        <w:t>技术要求</w:t>
      </w:r>
      <w:bookmarkEnd w:id="14"/>
    </w:p>
    <w:p>
      <w:pPr>
        <w:pStyle w:val="158"/>
        <w:keepNext w:val="0"/>
        <w:keepLines w:val="0"/>
        <w:pageBreakBefore w:val="0"/>
        <w:numPr>
          <w:ilvl w:val="0"/>
          <w:numId w:val="0"/>
        </w:numPr>
        <w:kinsoku/>
        <w:wordWrap/>
        <w:overflowPunct/>
        <w:topLinePunct w:val="0"/>
        <w:bidi w:val="0"/>
        <w:snapToGrid/>
        <w:spacing w:line="450" w:lineRule="exact"/>
        <w:jc w:val="center"/>
        <w:textAlignment w:val="auto"/>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w:t>
      </w:r>
      <w:bookmarkStart w:id="15" w:name="_Toc23174"/>
      <w:r>
        <w:rPr>
          <w:rFonts w:hint="eastAsia" w:ascii="宋体" w:hAnsi="宋体" w:eastAsia="宋体" w:cs="宋体"/>
          <w:color w:val="auto"/>
          <w:kern w:val="2"/>
          <w:sz w:val="24"/>
          <w:szCs w:val="24"/>
          <w:lang w:val="en-US" w:eastAsia="zh-CN" w:bidi="ar-SA"/>
        </w:rPr>
        <w:t>技术参数</w:t>
      </w:r>
      <w:bookmarkEnd w:id="15"/>
    </w:p>
    <w:tbl>
      <w:tblPr>
        <w:tblStyle w:val="71"/>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950"/>
        <w:gridCol w:w="1290"/>
        <w:gridCol w:w="1275"/>
        <w:gridCol w:w="2040"/>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1773"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项目地点</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数量（户）</w:t>
            </w:r>
          </w:p>
        </w:tc>
        <w:tc>
          <w:tcPr>
            <w:tcW w:w="1275"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合计（户）</w:t>
            </w:r>
          </w:p>
        </w:tc>
        <w:tc>
          <w:tcPr>
            <w:tcW w:w="204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简要规格描述</w:t>
            </w:r>
          </w:p>
        </w:tc>
        <w:tc>
          <w:tcPr>
            <w:tcW w:w="1455"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和田市农村房屋安全性鉴定工作采购项目（包一）</w:t>
            </w: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阿克恰勒乡</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1147</w:t>
            </w:r>
          </w:p>
        </w:tc>
        <w:tc>
          <w:tcPr>
            <w:tcW w:w="1275"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26319</w:t>
            </w:r>
          </w:p>
        </w:tc>
        <w:tc>
          <w:tcPr>
            <w:tcW w:w="2040"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房屋结构检测、结构安全性及抗震性能鉴定</w:t>
            </w:r>
          </w:p>
        </w:tc>
        <w:tc>
          <w:tcPr>
            <w:tcW w:w="1455"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left="239" w:leftChars="114" w:firstLine="120" w:firstLineChars="50"/>
              <w:jc w:val="both"/>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房屋安全性鉴定均按户计算，每户计划鉴定费用为100元。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10" w:firstLineChars="100"/>
              <w:jc w:val="center"/>
              <w:textAlignment w:val="auto"/>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吉亚乡</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6126</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吐沙拉镇</w:t>
            </w:r>
          </w:p>
        </w:tc>
        <w:tc>
          <w:tcPr>
            <w:tcW w:w="129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10192</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伊里其乡</w:t>
            </w:r>
          </w:p>
        </w:tc>
        <w:tc>
          <w:tcPr>
            <w:tcW w:w="1290" w:type="dxa"/>
            <w:vMerge w:val="restart"/>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8854</w:t>
            </w: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73"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950" w:type="dxa"/>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夏玛勒巴格片区</w:t>
            </w:r>
          </w:p>
        </w:tc>
        <w:tc>
          <w:tcPr>
            <w:tcW w:w="129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27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2040"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c>
          <w:tcPr>
            <w:tcW w:w="1455" w:type="dxa"/>
            <w:vMerge w:val="continue"/>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9783" w:type="dxa"/>
            <w:gridSpan w:val="6"/>
            <w:noWrap w:val="0"/>
            <w:vAlign w:val="center"/>
          </w:tcPr>
          <w:p>
            <w:pPr>
              <w:pStyle w:val="111"/>
              <w:keepNext w:val="0"/>
              <w:keepLines w:val="0"/>
              <w:pageBreakBefore w:val="0"/>
              <w:widowControl/>
              <w:kinsoku/>
              <w:wordWrap/>
              <w:overflowPunct/>
              <w:topLinePunct w:val="0"/>
              <w:autoSpaceDE/>
              <w:autoSpaceDN/>
              <w:bidi w:val="0"/>
              <w:adjustRightInd/>
              <w:snapToGrid/>
              <w:spacing w:line="450" w:lineRule="exact"/>
              <w:ind w:firstLine="240" w:firstLineChars="10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服务要求：提供一式三份鉴定、认定报告（电子版、纸质版），本包按乡、</w:t>
            </w:r>
            <w:r>
              <w:rPr>
                <w:rFonts w:hint="eastAsia" w:ascii="宋体" w:hAnsi="宋体" w:cs="宋体"/>
                <w:color w:val="auto"/>
                <w:kern w:val="2"/>
                <w:sz w:val="24"/>
                <w:szCs w:val="24"/>
                <w:lang w:val="en-US" w:eastAsia="zh-CN" w:bidi="ar-SA"/>
              </w:rPr>
              <w:t>镇</w:t>
            </w:r>
            <w:r>
              <w:rPr>
                <w:rFonts w:hint="eastAsia" w:ascii="宋体" w:hAnsi="宋体" w:eastAsia="宋体" w:cs="宋体"/>
                <w:color w:val="auto"/>
                <w:kern w:val="2"/>
                <w:sz w:val="24"/>
                <w:szCs w:val="24"/>
                <w:lang w:val="en-US" w:eastAsia="zh-CN" w:bidi="ar-SA"/>
              </w:rPr>
              <w:t>分类的明细台帐电子版、纸质版各一份、每个包提供签字盖章的空白认定表、鉴定报告各50份，制作明白卡或对明白卡盖章及因工作需要的有关房屋认定、鉴定的其他服务。</w:t>
            </w:r>
          </w:p>
        </w:tc>
      </w:tr>
    </w:tbl>
    <w:p>
      <w:pPr>
        <w:spacing w:line="500" w:lineRule="exact"/>
        <w:ind w:left="0" w:leftChars="0" w:firstLine="0" w:firstLineChars="0"/>
        <w:jc w:val="both"/>
        <w:rPr>
          <w:rFonts w:ascii="宋体" w:hAnsi="宋体" w:cs="宋体"/>
          <w:b/>
          <w:sz w:val="24"/>
        </w:rPr>
      </w:pPr>
    </w:p>
    <w:p>
      <w:pPr>
        <w:pStyle w:val="157"/>
        <w:numPr>
          <w:ilvl w:val="0"/>
          <w:numId w:val="11"/>
        </w:numPr>
        <w:ind w:firstLine="480"/>
        <w:jc w:val="both"/>
        <w:rPr>
          <w:rFonts w:hint="default" w:ascii="宋体" w:hAnsi="宋体" w:eastAsia="新宋体" w:cs="Times New Roman"/>
          <w:kern w:val="2"/>
          <w:sz w:val="24"/>
          <w:szCs w:val="24"/>
          <w:highlight w:val="none"/>
          <w:lang w:val="en-US" w:eastAsia="zh-CN" w:bidi="ar-SA"/>
        </w:rPr>
      </w:pPr>
      <w:r>
        <w:rPr>
          <w:rFonts w:hint="eastAsia" w:ascii="宋体" w:hAnsi="宋体" w:cs="宋体"/>
          <w:sz w:val="24"/>
        </w:rPr>
        <w:t>项目</w:t>
      </w:r>
      <w:r>
        <w:rPr>
          <w:rFonts w:hint="eastAsia" w:ascii="宋体" w:hAnsi="宋体" w:cs="宋体"/>
          <w:sz w:val="24"/>
          <w:lang w:val="en-US" w:eastAsia="zh-CN"/>
        </w:rPr>
        <w:t>概况</w:t>
      </w:r>
      <w:r>
        <w:rPr>
          <w:rFonts w:hint="eastAsia" w:ascii="宋体" w:hAnsi="宋体" w:cs="宋体"/>
          <w:sz w:val="24"/>
          <w:highlight w:val="none"/>
        </w:rPr>
        <w:t>：</w:t>
      </w:r>
      <w:r>
        <w:rPr>
          <w:rFonts w:hint="eastAsia" w:ascii="宋体" w:hAnsi="宋体" w:eastAsia="新宋体" w:cs="Times New Roman"/>
          <w:kern w:val="2"/>
          <w:sz w:val="24"/>
          <w:szCs w:val="24"/>
          <w:highlight w:val="none"/>
          <w:lang w:val="en-US" w:eastAsia="zh-CN" w:bidi="ar-SA"/>
        </w:rPr>
        <w:t>对和田市5.3万户农户院内所有房屋进行安全性鉴定，房屋结构安全隐患排查、检测等，主要对房屋结构安全状况进行鉴别、评定，为房屋安全鉴定和管理提供技术支撑。为采购人提供科学、可靠、有效的检测数据和检测报告。每户计划鉴定费用为100元。</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eastAsia="宋体" w:cs="宋体"/>
          <w:sz w:val="24"/>
          <w:highlight w:val="none"/>
          <w:lang w:eastAsia="zh-CN"/>
        </w:rPr>
      </w:pPr>
      <w:r>
        <w:rPr>
          <w:rFonts w:hint="eastAsia" w:ascii="宋体" w:hAnsi="宋体" w:cs="宋体"/>
          <w:sz w:val="24"/>
          <w:highlight w:val="none"/>
        </w:rPr>
        <w:t>2、</w:t>
      </w:r>
      <w:r>
        <w:rPr>
          <w:rFonts w:hint="eastAsia" w:ascii="宋体" w:hAnsi="宋体" w:eastAsia="新宋体" w:cs="Times New Roman"/>
          <w:kern w:val="2"/>
          <w:sz w:val="24"/>
          <w:szCs w:val="24"/>
          <w:highlight w:val="none"/>
          <w:lang w:val="en-US" w:eastAsia="zh-CN" w:bidi="ar-SA"/>
        </w:rPr>
        <w:t>从事过房屋结构检测、结构安全性及抗震性能鉴定的第三方机构。第三方机构（第三方机构是指依法设立并提供服务的法人或其他组织，主要包括建设工程质量检测机构）。</w:t>
      </w:r>
    </w:p>
    <w:p>
      <w:pPr>
        <w:widowControl/>
        <w:spacing w:line="440" w:lineRule="exact"/>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实施方案（包含具体内容详见投标文件格式）。</w:t>
      </w:r>
    </w:p>
    <w:p>
      <w:pPr>
        <w:widowControl/>
        <w:spacing w:line="440" w:lineRule="exact"/>
        <w:ind w:firstLine="480" w:firstLineChars="200"/>
        <w:jc w:val="left"/>
        <w:rPr>
          <w:rFonts w:ascii="宋体" w:hAnsi="宋体" w:cs="宋体"/>
          <w:sz w:val="24"/>
        </w:rPr>
      </w:pPr>
      <w:r>
        <w:rPr>
          <w:rFonts w:hint="eastAsia" w:ascii="宋体" w:hAnsi="宋体" w:cs="宋体"/>
          <w:sz w:val="24"/>
          <w:lang w:val="en-US" w:eastAsia="zh-CN"/>
        </w:rPr>
        <w:t>4、</w:t>
      </w:r>
      <w:r>
        <w:rPr>
          <w:rFonts w:hint="eastAsia" w:ascii="宋体" w:hAnsi="宋体" w:cs="宋体"/>
          <w:sz w:val="24"/>
        </w:rPr>
        <w:t>中标人在执行本协议期限内，必须按投标时所报的人员进行现场办公，业务人员</w:t>
      </w:r>
      <w:r>
        <w:rPr>
          <w:rFonts w:hint="eastAsia" w:ascii="宋体" w:hAnsi="宋体" w:cs="宋体"/>
          <w:sz w:val="24"/>
          <w:lang w:val="en-US" w:eastAsia="zh-CN"/>
        </w:rPr>
        <w:t>工作</w:t>
      </w:r>
      <w:r>
        <w:rPr>
          <w:rFonts w:hint="eastAsia" w:ascii="宋体" w:hAnsi="宋体" w:cs="宋体"/>
          <w:sz w:val="24"/>
        </w:rPr>
        <w:t>期间要按甲方要求提供业务服务等相关工作；如有特殊情况需要更换业务人员（业务人员需具备相应的</w:t>
      </w:r>
      <w:r>
        <w:rPr>
          <w:rFonts w:hint="eastAsia" w:ascii="宋体" w:hAnsi="宋体" w:cs="宋体"/>
          <w:sz w:val="24"/>
          <w:lang w:val="en-US" w:eastAsia="zh-CN"/>
        </w:rPr>
        <w:t>工作经验</w:t>
      </w:r>
      <w:r>
        <w:rPr>
          <w:rFonts w:hint="eastAsia" w:ascii="宋体" w:hAnsi="宋体" w:cs="宋体"/>
          <w:sz w:val="24"/>
        </w:rPr>
        <w:t>），必须经</w:t>
      </w:r>
      <w:r>
        <w:rPr>
          <w:rFonts w:hint="eastAsia" w:ascii="宋体" w:hAnsi="宋体" w:cs="宋体"/>
          <w:sz w:val="24"/>
          <w:lang w:val="en-US" w:eastAsia="zh-CN"/>
        </w:rPr>
        <w:t>采购单位</w:t>
      </w:r>
      <w:r>
        <w:rPr>
          <w:rFonts w:hint="eastAsia" w:ascii="宋体" w:hAnsi="宋体" w:cs="宋体"/>
          <w:sz w:val="24"/>
        </w:rPr>
        <w:t>及监管部门同意后方可更换。</w:t>
      </w:r>
    </w:p>
    <w:p>
      <w:pPr>
        <w:spacing w:line="500" w:lineRule="exact"/>
        <w:ind w:firstLine="480" w:firstLineChars="200"/>
        <w:jc w:val="left"/>
        <w:rPr>
          <w:rFonts w:ascii="宋体" w:hAnsi="宋体" w:cs="宋体"/>
          <w:sz w:val="24"/>
        </w:rPr>
        <w:sectPr>
          <w:footerReference r:id="rId14" w:type="default"/>
          <w:footnotePr>
            <w:numFmt w:val="decimalHalfWidth"/>
          </w:footnotePr>
          <w:endnotePr>
            <w:numFmt w:val="chineseCounting"/>
          </w:endnotePr>
          <w:pgSz w:w="11906" w:h="16838"/>
          <w:pgMar w:top="1134" w:right="1304" w:bottom="1134" w:left="1304" w:header="737" w:footer="850" w:gutter="0"/>
          <w:pgNumType w:fmt="decimal" w:start="1"/>
          <w:cols w:space="720" w:num="1"/>
          <w:docGrid w:type="lines" w:linePitch="320" w:charSpace="0"/>
        </w:sectPr>
      </w:pPr>
      <w:r>
        <w:rPr>
          <w:rFonts w:hint="eastAsia" w:ascii="宋体" w:hAnsi="宋体" w:cs="宋体"/>
          <w:sz w:val="24"/>
          <w:lang w:val="en-US" w:eastAsia="zh-CN"/>
        </w:rPr>
        <w:t>5</w:t>
      </w:r>
      <w:r>
        <w:rPr>
          <w:rFonts w:hint="eastAsia" w:ascii="宋体" w:hAnsi="宋体" w:cs="宋体"/>
          <w:sz w:val="24"/>
        </w:rPr>
        <w:t>、若投标人中标后，必须服从</w:t>
      </w:r>
      <w:r>
        <w:rPr>
          <w:rFonts w:hint="eastAsia" w:ascii="宋体" w:hAnsi="宋体" w:cs="宋体"/>
          <w:sz w:val="24"/>
          <w:lang w:val="en-US" w:eastAsia="zh-CN"/>
        </w:rPr>
        <w:t>采购单位的</w:t>
      </w:r>
      <w:r>
        <w:rPr>
          <w:rFonts w:hint="eastAsia" w:ascii="宋体" w:hAnsi="宋体" w:cs="宋体"/>
          <w:sz w:val="24"/>
        </w:rPr>
        <w:t>管理并及时汇报相关工作。</w:t>
      </w:r>
    </w:p>
    <w:p>
      <w:pPr>
        <w:numPr>
          <w:ilvl w:val="0"/>
          <w:numId w:val="0"/>
        </w:numPr>
        <w:spacing w:line="460" w:lineRule="exact"/>
        <w:ind w:leftChars="-50" w:right="62" w:rightChars="0" w:firstLine="4096" w:firstLineChars="1700"/>
        <w:jc w:val="both"/>
        <w:outlineLvl w:val="0"/>
        <w:rPr>
          <w:rFonts w:hint="eastAsia" w:asciiTheme="minorEastAsia" w:hAnsiTheme="minorEastAsia" w:eastAsiaTheme="minorEastAsia" w:cstheme="minorEastAsia"/>
          <w:b/>
          <w:color w:val="000000" w:themeColor="text1"/>
          <w:szCs w:val="32"/>
          <w:highlight w:val="none"/>
          <w14:textFill>
            <w14:solidFill>
              <w14:schemeClr w14:val="tx1"/>
            </w14:solidFill>
          </w14:textFill>
        </w:rPr>
      </w:pPr>
      <w:r>
        <w:rPr>
          <w:rFonts w:hint="eastAsia" w:ascii="宋体" w:hAnsi="宋体" w:cs="宋体"/>
          <w:b/>
          <w:sz w:val="24"/>
          <w:lang w:val="en-US" w:eastAsia="zh-CN"/>
        </w:rPr>
        <w:t>第四章</w:t>
      </w:r>
      <w:r>
        <w:rPr>
          <w:rFonts w:hint="eastAsia" w:ascii="宋体" w:hAnsi="宋体" w:cs="宋体"/>
          <w:b/>
          <w:sz w:val="24"/>
        </w:rPr>
        <w:t xml:space="preserve">  </w:t>
      </w:r>
      <w:bookmarkStart w:id="16" w:name="_Toc15464"/>
      <w:r>
        <w:rPr>
          <w:rFonts w:hint="eastAsia" w:ascii="宋体" w:hAnsi="宋体" w:cs="宋体"/>
          <w:b/>
          <w:sz w:val="24"/>
        </w:rPr>
        <w:t>合同</w:t>
      </w:r>
      <w:bookmarkEnd w:id="16"/>
    </w:p>
    <w:p>
      <w:pPr>
        <w:numPr>
          <w:ilvl w:val="0"/>
          <w:numId w:val="0"/>
        </w:numPr>
        <w:spacing w:line="460" w:lineRule="exact"/>
        <w:ind w:leftChars="-50" w:right="62" w:rightChars="0" w:firstLine="2891" w:firstLineChars="900"/>
        <w:jc w:val="both"/>
        <w:outlineLvl w:val="0"/>
        <w:rPr>
          <w:rFonts w:hint="eastAsia" w:asciiTheme="minorEastAsia" w:hAnsiTheme="minorEastAsia" w:eastAsiaTheme="minorEastAsia" w:cstheme="minorEastAsia"/>
          <w:b/>
          <w:color w:val="000000" w:themeColor="text1"/>
          <w:szCs w:val="32"/>
          <w:highlight w:val="none"/>
          <w14:textFill>
            <w14:solidFill>
              <w14:schemeClr w14:val="tx1"/>
            </w14:solidFill>
          </w14:textFill>
        </w:rPr>
      </w:pPr>
      <w:bookmarkStart w:id="17" w:name="_Toc6612"/>
      <w:r>
        <w:rPr>
          <w:rFonts w:hint="eastAsia" w:asciiTheme="minorEastAsia" w:hAnsiTheme="minorEastAsia" w:eastAsiaTheme="minorEastAsia" w:cstheme="minorEastAsia"/>
          <w:b/>
          <w:color w:val="000000" w:themeColor="text1"/>
          <w:kern w:val="2"/>
          <w:sz w:val="32"/>
          <w:szCs w:val="32"/>
          <w:highlight w:val="none"/>
          <w14:textFill>
            <w14:solidFill>
              <w14:schemeClr w14:val="tx1"/>
            </w14:solidFill>
          </w14:textFill>
        </w:rPr>
        <w:t>质量检测合同条款及格式</w:t>
      </w:r>
      <w:bookmarkEnd w:id="17"/>
    </w:p>
    <w:p>
      <w:pPr>
        <w:spacing w:line="360" w:lineRule="auto"/>
        <w:rPr>
          <w:rFonts w:hint="eastAsia" w:asciiTheme="minorEastAsia" w:hAnsiTheme="minorEastAsia" w:eastAsiaTheme="minorEastAsia" w:cstheme="minorEastAsia"/>
          <w:color w:val="000000" w:themeColor="text1"/>
          <w:kern w:val="0"/>
          <w:sz w:val="32"/>
          <w:szCs w:val="32"/>
          <w:highlight w:val="none"/>
          <w:lang w:val="en-US" w:eastAsia="zh-CN" w:bidi="ar-SA"/>
          <w14:textFill>
            <w14:solidFill>
              <w14:schemeClr w14:val="tx1"/>
            </w14:solidFill>
          </w14:textFill>
        </w:rPr>
      </w:pPr>
    </w:p>
    <w:p>
      <w:pPr>
        <w:adjustRightInd w:val="0"/>
        <w:snapToGrid w:val="0"/>
        <w:spacing w:line="360" w:lineRule="auto"/>
        <w:jc w:val="center"/>
        <w:outlineLvl w:val="0"/>
        <w:rPr>
          <w:rFonts w:hint="eastAsia" w:asciiTheme="minorEastAsia" w:hAnsiTheme="minorEastAsia" w:eastAsiaTheme="minorEastAsia" w:cstheme="minorEastAsia"/>
          <w:color w:val="000000" w:themeColor="text1"/>
          <w:sz w:val="52"/>
          <w:highlight w:val="none"/>
          <w14:textFill>
            <w14:solidFill>
              <w14:schemeClr w14:val="tx1"/>
            </w14:solidFill>
          </w14:textFill>
        </w:rPr>
      </w:pPr>
      <w:bookmarkStart w:id="18" w:name="_Toc21189"/>
      <w:r>
        <w:rPr>
          <w:rFonts w:hint="eastAsia" w:asciiTheme="minorEastAsia" w:hAnsiTheme="minorEastAsia" w:eastAsiaTheme="minorEastAsia" w:cstheme="minorEastAsia"/>
          <w:color w:val="000000" w:themeColor="text1"/>
          <w:sz w:val="52"/>
          <w:highlight w:val="none"/>
          <w14:textFill>
            <w14:solidFill>
              <w14:schemeClr w14:val="tx1"/>
            </w14:solidFill>
          </w14:textFill>
        </w:rPr>
        <w:t>质 量 检 测</w:t>
      </w:r>
      <w:bookmarkEnd w:id="18"/>
    </w:p>
    <w:p>
      <w:pPr>
        <w:adjustRightInd w:val="0"/>
        <w:snapToGrid w:val="0"/>
        <w:spacing w:line="360" w:lineRule="auto"/>
        <w:jc w:val="center"/>
        <w:outlineLvl w:val="0"/>
        <w:rPr>
          <w:rFonts w:hint="eastAsia" w:asciiTheme="minorEastAsia" w:hAnsiTheme="minorEastAsia" w:eastAsiaTheme="minorEastAsia" w:cstheme="minorEastAsia"/>
          <w:color w:val="000000" w:themeColor="text1"/>
          <w:sz w:val="52"/>
          <w:highlight w:val="none"/>
          <w14:textFill>
            <w14:solidFill>
              <w14:schemeClr w14:val="tx1"/>
            </w14:solidFill>
          </w14:textFill>
        </w:rPr>
      </w:pPr>
      <w:bookmarkStart w:id="19" w:name="_Toc25862"/>
      <w:r>
        <w:rPr>
          <w:rFonts w:hint="eastAsia" w:asciiTheme="minorEastAsia" w:hAnsiTheme="minorEastAsia" w:eastAsiaTheme="minorEastAsia" w:cstheme="minorEastAsia"/>
          <w:color w:val="000000" w:themeColor="text1"/>
          <w:sz w:val="52"/>
          <w:highlight w:val="none"/>
          <w14:textFill>
            <w14:solidFill>
              <w14:schemeClr w14:val="tx1"/>
            </w14:solidFill>
          </w14:textFill>
        </w:rPr>
        <w:t>合 同 书</w:t>
      </w:r>
      <w:bookmarkEnd w:id="19"/>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left"/>
        <w:outlineLvl w:val="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bookmarkStart w:id="20" w:name="_Toc946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项目名称：</w:t>
      </w:r>
      <w:bookmarkEnd w:id="20"/>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outlineLvl w:val="0"/>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bookmarkStart w:id="21" w:name="_Toc14122"/>
      <w:r>
        <w:rPr>
          <w:rFonts w:hint="eastAsia" w:asciiTheme="minorEastAsia" w:hAnsiTheme="minorEastAsia" w:eastAsiaTheme="minorEastAsia" w:cstheme="minorEastAsia"/>
          <w:b/>
          <w:color w:val="000000" w:themeColor="text1"/>
          <w:sz w:val="28"/>
          <w:szCs w:val="28"/>
          <w:highlight w:val="none"/>
          <w:lang w:val="en-US" w:eastAsia="zh-CN"/>
          <w14:textFill>
            <w14:solidFill>
              <w14:schemeClr w14:val="tx1"/>
            </w14:solidFill>
          </w14:textFill>
        </w:rPr>
        <w:t>项目</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地点：</w:t>
      </w:r>
      <w:bookmarkEnd w:id="21"/>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甲  方：</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t>采购人</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乙  方：</w:t>
      </w:r>
      <w:r>
        <w:rPr>
          <w:rFonts w:hint="eastAsia" w:asciiTheme="minorEastAsia" w:hAnsiTheme="minorEastAsia" w:eastAsiaTheme="minorEastAsia" w:cstheme="minorEastAsia"/>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 xml:space="preserve"> </w:t>
      </w: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ind w:left="239" w:leftChars="114" w:firstLine="3012" w:firstLineChars="1250"/>
        <w:outlineLvl w:val="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bookmarkStart w:id="22" w:name="_Toc10220"/>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签订日期：20</w:t>
      </w:r>
      <w:r>
        <w:rPr>
          <w:rFonts w:hint="eastAsia" w:asciiTheme="minorEastAsia" w:hAnsiTheme="minorEastAsia" w:eastAsiaTheme="minorEastAsia" w:cstheme="minorEastAsia"/>
          <w:b/>
          <w:color w:val="000000" w:themeColor="text1"/>
          <w:sz w:val="24"/>
          <w:highlight w:val="none"/>
          <w:lang w:val="en-US" w:eastAsia="zh-CN"/>
          <w14:textFill>
            <w14:solidFill>
              <w14:schemeClr w14:val="tx1"/>
            </w14:solidFill>
          </w14:textFill>
        </w:rPr>
        <w:t>20</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年  月</w:t>
      </w:r>
      <w:bookmarkEnd w:id="22"/>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pStyle w:val="9"/>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pPr>
        <w:spacing w:line="360" w:lineRule="auto"/>
        <w:jc w:val="cente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u w:val="single"/>
          <w:lang w:val="en-US" w:eastAsia="zh-CN"/>
          <w14:textFill>
            <w14:solidFill>
              <w14:schemeClr w14:val="tx1"/>
            </w14:solidFill>
          </w14:textFill>
        </w:rPr>
        <w:t>项           目            名            称</w:t>
      </w:r>
    </w:p>
    <w:p>
      <w:pPr>
        <w:spacing w:line="360" w:lineRule="auto"/>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委托合同</w:t>
      </w:r>
    </w:p>
    <w:p>
      <w:pPr>
        <w:spacing w:line="360" w:lineRule="auto"/>
        <w:jc w:val="lef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甲 方：                     （</w:t>
      </w:r>
      <w:r>
        <w:rPr>
          <w:rFonts w:hint="eastAsia" w:asciiTheme="minorEastAsia" w:hAnsiTheme="minorEastAsia" w:eastAsiaTheme="minorEastAsia" w:cstheme="minorEastAsia"/>
          <w:b/>
          <w:bCs w:val="0"/>
          <w:color w:val="000000" w:themeColor="text1"/>
          <w:sz w:val="28"/>
          <w:szCs w:val="28"/>
          <w:highlight w:val="none"/>
          <w:lang w:val="en-US" w:eastAsia="zh-CN"/>
          <w14:textFill>
            <w14:solidFill>
              <w14:schemeClr w14:val="tx1"/>
            </w14:solidFill>
          </w14:textFill>
        </w:rPr>
        <w:t>采购人</w:t>
      </w: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val="0"/>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 xml:space="preserve">乙 方：       </w:t>
      </w:r>
      <w:r>
        <w:rPr>
          <w:rFonts w:hint="eastAsia" w:asciiTheme="minorEastAsia" w:hAnsiTheme="minorEastAsia" w:eastAsiaTheme="minorEastAsia" w:cstheme="minorEastAsia"/>
          <w:b w:val="0"/>
          <w:bCs/>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依照《中华人民共和国合同法》、《中华人民共和国建筑法》及其他有关法律、行政法规、遵循平等、志愿、公平和诚实信用的原则，双方就</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事项协商一致，订立本合同。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一、甲方委托承包人检测的</w:t>
      </w:r>
      <w:r>
        <w:rPr>
          <w:rFonts w:hint="eastAsia" w:asciiTheme="minorEastAsia" w:hAnsiTheme="minorEastAsia" w:eastAsiaTheme="minorEastAsia" w:cstheme="minorEastAsia"/>
          <w:b/>
          <w:bCs w:val="0"/>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bCs w:val="0"/>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概况如下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3" w:name="_Toc18261"/>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1.1. 工程名称：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b w:val="0"/>
          <w:bCs/>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（以下统称“本工程”）</w:t>
      </w:r>
      <w:bookmarkEnd w:id="23"/>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4" w:name="_Toc7423"/>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1.2. </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地点：</w:t>
      </w:r>
      <w:bookmarkEnd w:id="2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5" w:name="_Toc9595"/>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1.3. </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规模：</w:t>
      </w:r>
      <w:bookmarkEnd w:id="25"/>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二、合同承包范围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1、房屋结构安全隐患排查、检测等，主要对房屋结构安全状况进行鉴别、评定，为房屋安全鉴定和管理提供技术支撑。为招标人提供科学、可靠、有效的检测数据和检测报告。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2、检测主要内容</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对和田市5.3万户农户院内所有房屋进行安全性鉴定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3、每</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户房屋</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完成后均需出具三份检测报告</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等其他服务</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3.1. 检测服务期：完成项目全过程检测服务，本</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服务期</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为</w:t>
      </w:r>
      <w:r>
        <w:rPr>
          <w:rFonts w:hint="eastAsia" w:ascii="宋体" w:hAnsi="宋体" w:cs="宋体"/>
          <w:sz w:val="24"/>
          <w:lang w:val="en-US" w:eastAsia="zh-CN"/>
        </w:rPr>
        <w:t>2020年6月10日前完成各乡镇房屋安全性鉴定工作</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.缺陷责任期：12个月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四、质量标准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检测质量标准：符合国家相关的技术标准、规范、规程以及设计要求。</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五、合同价款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本工程检测</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，单价包干（中标价），金额：（大写）              （人民币），总价             元。包括试验费、检测费、材料费、加载车辆租赁费及过磅费、包括民工在内的所有人员工资、管理费、利润、税金、协调费等发生的一切费用。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六、 为保证本</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检测工作正常开展，甲乙双方职责如下：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bookmarkStart w:id="26" w:name="_Toc16396"/>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6.1、甲方职责</w:t>
      </w:r>
      <w:bookmarkEnd w:id="2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6.1.1提供本工程与检测有关的技术资料及文件；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6.1.2提供本工程第三方与检测有关的协调工作；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6.1.3为确保本工程检测工作正常开展，任何人不得干预检测工作的独立性、公正性与准确性。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bookmarkStart w:id="27" w:name="_Toc8956"/>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6.14负责审批乙方上报的项目检测实施规划及动态调整计划。</w:t>
      </w:r>
      <w:bookmarkEnd w:id="2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bookmarkStart w:id="28" w:name="_Toc13872"/>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6.2、乙方职责</w:t>
      </w:r>
      <w:bookmarkEnd w:id="2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6.2.1乙方进场后</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个工作日内编制本工程检测实施规划及动态调整计划报甲方审批；针对本项目的检测内容单独建立检测台帐，供甲方或甲方委托的监理人查阅；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6.2.2按照国家相关的技术标准、规范、规程以及设计要求开展检测工作、并对检测报告的真实性、准确性负责；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6.2.3配备必须的乙方员、设备，确保检测工作正常开展，及时向甲方提供检测报告；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6.2.4检测员现场工作期间，严格遵守本工程的安全管理制度，严防安全事故发生。当检测结果出现异常时（包括不合格或明显高于设计要求），必须第一时间通知甲方委托的监理人与甲方。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6.2.5 一般检测项目在收到检测试件24小时内完成检测并提供检测报告。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6.2.6每日 24小时收件（含假节日）。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6.2.7 提供试件的养护场所。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6.2.8到场检测项目在接到通知后48小时内到场检测。并及时提供检测报告。</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七、乙方的违约责任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在本合同履行过程中，乙方下述行为属违约：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 由于乙方原因终止合同，乙方应承担由此对甲方带来的全部损失。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7.2乙方的人员、设备未能按合同规定及时到位并开展工作。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7.3 拟投入本项目的主要人员未能按指定的日期进场，甲方对项目负责人按2000元/人·天扣除违约金；其它技术人员按1000元/人·天扣除违约金。设备未能按指定的日期进场并开展工作按2000元/天扣除违约金。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7.4乙方试验出现影响结果正确性的差错，必须及时改正，并按5万元/次扣除违约金，其它差错2000~5000元/次扣除违约金，并视情况上报质量监督机构。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7.5乙方抄袭其他类似工程试验检测数据、试验数据做假。一经甲方发现，则按30万元/次扣除乙方的违约金，并上报质量监督等部门作相应处理。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7.6 乙方未能在最佳检测时机进行测试，使检测数据缺项或不准确。一经甲方发现，则按2万元/次扣除扣除乙方的违约金。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7.7被上级主管部门及所属质量监督机构检查出现的其它问题的，视情况按1~5万元/次扣除扣除乙方的违约金。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7.8 未经甲方批准，乙方擅自撤离设备。一经甲方发现，则按2万元/次扣除扣除乙方的违约金。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7.9 乙方在投标文件中填报的项目负责人、其它人员不得随意更换，如有特殊情况需要更换时，项目负责人罚款4万元，其它人员罚款2万元，且拟派人员必须通过甲方的笔试与面试，经甲方同意后方允许更换。</w:t>
      </w:r>
    </w:p>
    <w:p>
      <w:pPr>
        <w:pStyle w:val="2"/>
        <w:ind w:firstLine="480" w:firstLineChars="200"/>
        <w:rPr>
          <w:rFonts w:hint="eastAsia" w:asciiTheme="minorEastAsia" w:hAnsiTheme="minorEastAsia" w:eastAsiaTheme="minorEastAsia" w:cstheme="minorEastAsia"/>
          <w:b w:val="0"/>
          <w:bCs/>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color w:val="000000" w:themeColor="text1"/>
          <w:kern w:val="2"/>
          <w:sz w:val="24"/>
          <w:szCs w:val="24"/>
          <w:highlight w:val="none"/>
          <w:lang w:val="en-US" w:eastAsia="zh-CN" w:bidi="ar-SA"/>
          <w14:textFill>
            <w14:solidFill>
              <w14:schemeClr w14:val="tx1"/>
            </w14:solidFill>
          </w14:textFill>
        </w:rPr>
        <w:t>7.10我单位严格按照采购人要求在2020年6月10日前完成各乡镇房屋安全性鉴定工作，不得出现工作差错，在此期间未按采购人规定期限完成各项工作我单位愿接受采购人给予5000元/天（日历天）的罚款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乙方试验人员不能胜任本职工作，而乙方又不能按甲方要求及时更换的，扣除1万元/人次的违约金。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在合同实施期间发现乙方提供了虚假资料，甲方有权从服务费或履约保证金中扣除不超过10%检测服务费的金额作为违约金。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7.1</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在乙方履约期间被交通主管部门或所属的质监局检查且核实后存在的其他检测问题，扣除1~5万元/次的违约金。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发生上述违约责任之一，甲方将从应付款或履约保证金中扣除乙方违约金。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八、质量检测费支付：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本工程无预付款，均按阶段支付进度款。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8.1基础完工，且乙方提交该部分质量检测报告后，甲方支付至合同金额的30%。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8.2主体结构工程完工，且乙方提交该部分质量检测报告后，甲方支付至合同金额的50%。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8.3乙方按合同约定完成全部质量检测工作，并提交完整的检测报告且项目竣工验收合格后，甲方支付至合同金额的70%。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8.4乙方按合同约定提交结算资料且办理结算完成后，甲方支付至结算金额的97%。剩余结算价款的</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%作为质保金，质保期一年，质保期满后经甲方确认未出现因建筑材料质量检测、检验试验等质量检测原因引起的质量事故，甲方支付剩余尾款。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九、履约保证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9.1 乙方提供的履约保证为合同履约保证金，其金额为“ 合同总造价”的 10% ，即为：     元（大写：     ），其提交方式为：采用现金或转账支票。该保证金应在乙方收到甲方签发的中标通知书后7个工作日内提交，此合同履约保证金均不计利息。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9.2、履约保证金的返还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9.2.1主体结构验收完成，出具合格的检测试验报告后，且乙方无不良履约行为和违约责任时，甲方在30个工作日内支付乙方全部履约保证金；如有违约，则按本合同第七项进行处罚后， 30个工作日内一次性支付剩余履约保证金。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十、安全责任：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乙方应严格执行《中华人民共和国安全生产法》、中华人民共国国务院第302号文《国务院关于特大安全事故责任追究的规定》。检测过程中发生的一切安全责任事故、风险及费用由乙方自行承担。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如因乙方技术失误导致对</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房屋结构</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的检测失误，根据实际情况乙方应免收或减收检测费用；给甲方造成损失的，按照《中华人民共和国合同法》的相关规定要求，需向建设单位支付赔偿金。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乙方拟派的本项目检测相关人员均不得更换，否则甲方有权取消其中标资格或者终止合同，没收其投标保证金或则履约保证金，对甲方造成的损失还应承担相应责任。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项目负责人、技术负责人在专项检测时必须到场，相关专项检测的人员在其对应专项检测时也均需到场。项目负责人和技术负责人每缺席一次罚款1万元，对应检测时的检测人员每缺席一人罚款0.5万元。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十二、组成合同的文件包括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12.1、本合同协议书；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12.2、中标通知书；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12.3、报价明细表；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12.4、在合同实施过程中，双方共同洽商签署的变更、补充与修正等书面协议或文件。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十三、其他说明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13.1乙方向甲方承诺按照合同条款中约定的方式进行检测并提交检测成果报告。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13.2甲方向乙方承诺按照合同条款中约定的期限和方式支付合同价款及其他应当支付的款项。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13.3合同生效</w:t>
      </w:r>
    </w:p>
    <w:p>
      <w:pPr>
        <w:ind w:firstLine="240" w:firstLineChars="100"/>
        <w:rPr>
          <w:rFonts w:hint="eastAsia" w:ascii="宋体" w:hAnsi="宋体"/>
          <w:color w:val="000000"/>
          <w:sz w:val="24"/>
          <w:szCs w:val="24"/>
        </w:rPr>
      </w:pPr>
      <w:r>
        <w:rPr>
          <w:rFonts w:hint="eastAsia" w:ascii="宋体" w:hAnsi="宋体"/>
          <w:color w:val="000000"/>
          <w:sz w:val="24"/>
          <w:szCs w:val="24"/>
        </w:rPr>
        <w:t>合同订立时间：     年  月  日</w:t>
      </w:r>
    </w:p>
    <w:p>
      <w:pPr>
        <w:ind w:firstLine="240" w:firstLineChars="100"/>
        <w:rPr>
          <w:rFonts w:hint="eastAsia" w:ascii="宋体" w:hAnsi="宋体"/>
          <w:color w:val="000000"/>
          <w:sz w:val="24"/>
          <w:szCs w:val="24"/>
        </w:rPr>
      </w:pPr>
      <w:r>
        <w:rPr>
          <w:rFonts w:hint="eastAsia" w:ascii="宋体" w:hAnsi="宋体"/>
          <w:color w:val="000000"/>
          <w:sz w:val="24"/>
          <w:szCs w:val="24"/>
        </w:rPr>
        <w:t>合同订立地点：</w:t>
      </w:r>
    </w:p>
    <w:p>
      <w:pPr>
        <w:ind w:firstLine="240" w:firstLineChars="100"/>
        <w:rPr>
          <w:rFonts w:hint="eastAsia" w:ascii="宋体" w:hAnsi="宋体"/>
          <w:color w:val="000000"/>
          <w:sz w:val="24"/>
          <w:szCs w:val="24"/>
        </w:rPr>
      </w:pPr>
      <w:r>
        <w:rPr>
          <w:rFonts w:hint="eastAsia" w:ascii="宋体" w:hAnsi="宋体"/>
          <w:color w:val="000000"/>
          <w:sz w:val="24"/>
          <w:szCs w:val="24"/>
        </w:rPr>
        <w:t>本合同双方约定：双方法定代表人或授权委托代理人签字盖章后，本合同即开始生效。</w:t>
      </w:r>
    </w:p>
    <w:p>
      <w:pPr>
        <w:ind w:firstLine="240" w:firstLineChars="100"/>
        <w:rPr>
          <w:rFonts w:hint="eastAsia" w:ascii="宋体" w:hAnsi="宋体"/>
          <w:color w:val="000000"/>
          <w:sz w:val="24"/>
          <w:szCs w:val="24"/>
        </w:rPr>
      </w:pPr>
      <w:r>
        <w:rPr>
          <w:rFonts w:hint="eastAsia" w:ascii="宋体" w:hAnsi="宋体"/>
          <w:color w:val="000000"/>
          <w:sz w:val="24"/>
          <w:szCs w:val="24"/>
        </w:rPr>
        <w:t>13.4本合同变更必须由双方协商一致，并以书面形式确定。本合同未尽事宜双方应协商、调解解决。</w:t>
      </w:r>
    </w:p>
    <w:p>
      <w:pPr>
        <w:ind w:firstLine="240" w:firstLineChars="100"/>
        <w:rPr>
          <w:rFonts w:hint="eastAsia" w:ascii="宋体" w:hAnsi="宋体"/>
          <w:color w:val="000000"/>
          <w:sz w:val="24"/>
          <w:szCs w:val="24"/>
        </w:rPr>
      </w:pPr>
      <w:r>
        <w:rPr>
          <w:rFonts w:hint="eastAsia" w:ascii="宋体" w:hAnsi="宋体"/>
          <w:color w:val="000000"/>
          <w:sz w:val="24"/>
          <w:szCs w:val="24"/>
        </w:rPr>
        <w:t>13.5合同争议</w:t>
      </w:r>
    </w:p>
    <w:p>
      <w:pPr>
        <w:ind w:firstLine="240" w:firstLineChars="100"/>
        <w:rPr>
          <w:rFonts w:hint="eastAsia" w:ascii="宋体" w:hAnsi="宋体"/>
          <w:color w:val="000000"/>
          <w:sz w:val="24"/>
          <w:szCs w:val="24"/>
        </w:rPr>
      </w:pPr>
      <w:r>
        <w:rPr>
          <w:rFonts w:hint="eastAsia" w:ascii="宋体" w:hAnsi="宋体"/>
          <w:color w:val="000000"/>
          <w:sz w:val="24"/>
          <w:szCs w:val="24"/>
        </w:rPr>
        <w:t>13.5.1本合同适用中华人民共和国相关法律和法规。</w:t>
      </w:r>
    </w:p>
    <w:p>
      <w:pPr>
        <w:ind w:firstLine="240" w:firstLineChars="100"/>
        <w:rPr>
          <w:rFonts w:hint="eastAsia" w:ascii="宋体" w:hAnsi="宋体"/>
          <w:color w:val="000000"/>
          <w:sz w:val="24"/>
          <w:szCs w:val="24"/>
        </w:rPr>
      </w:pPr>
      <w:r>
        <w:rPr>
          <w:rFonts w:hint="eastAsia" w:ascii="宋体" w:hAnsi="宋体"/>
          <w:color w:val="000000"/>
          <w:sz w:val="24"/>
          <w:szCs w:val="24"/>
        </w:rPr>
        <w:t>13.5.2 因履行本合同所产生的争议，由甲乙双方协商解决，协商不成的双方同意按下列第（二）种方式解决：</w:t>
      </w:r>
    </w:p>
    <w:p>
      <w:pPr>
        <w:ind w:firstLine="240" w:firstLineChars="100"/>
        <w:outlineLvl w:val="0"/>
        <w:rPr>
          <w:rFonts w:hint="eastAsia" w:ascii="宋体" w:hAnsi="宋体"/>
          <w:color w:val="000000"/>
          <w:sz w:val="24"/>
          <w:szCs w:val="24"/>
        </w:rPr>
      </w:pPr>
      <w:bookmarkStart w:id="29" w:name="_Toc3258"/>
      <w:r>
        <w:rPr>
          <w:rFonts w:hint="eastAsia" w:ascii="宋体" w:hAnsi="宋体"/>
          <w:color w:val="000000"/>
          <w:sz w:val="24"/>
          <w:szCs w:val="24"/>
        </w:rPr>
        <w:t>（一）提交  / 仲裁委员会仲裁；</w:t>
      </w:r>
      <w:bookmarkEnd w:id="29"/>
    </w:p>
    <w:p>
      <w:pPr>
        <w:ind w:firstLine="240" w:firstLineChars="100"/>
        <w:outlineLvl w:val="0"/>
        <w:rPr>
          <w:rFonts w:hint="eastAsia" w:ascii="宋体" w:hAnsi="宋体"/>
          <w:color w:val="000000"/>
          <w:sz w:val="24"/>
          <w:szCs w:val="24"/>
        </w:rPr>
      </w:pPr>
      <w:bookmarkStart w:id="30" w:name="_Toc19483"/>
      <w:r>
        <w:rPr>
          <w:rFonts w:hint="eastAsia" w:ascii="宋体" w:hAnsi="宋体"/>
          <w:color w:val="000000"/>
          <w:sz w:val="24"/>
          <w:szCs w:val="24"/>
        </w:rPr>
        <w:t>（二）依法向甲方所在地人民法院起诉。</w:t>
      </w:r>
      <w:bookmarkEnd w:id="30"/>
    </w:p>
    <w:p>
      <w:pPr>
        <w:ind w:firstLine="240" w:firstLineChars="100"/>
        <w:rPr>
          <w:rFonts w:hint="eastAsia" w:ascii="宋体" w:hAnsi="宋体"/>
          <w:color w:val="000000"/>
          <w:sz w:val="24"/>
          <w:szCs w:val="24"/>
        </w:rPr>
      </w:pPr>
      <w:r>
        <w:rPr>
          <w:rFonts w:hint="eastAsia" w:ascii="宋体" w:hAnsi="宋体"/>
          <w:color w:val="000000"/>
          <w:sz w:val="24"/>
          <w:szCs w:val="24"/>
        </w:rPr>
        <w:t>十四、本合同一式拾份，甲方执捌份、乙方执贰份，具有同等法律效益。</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甲   方：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住   所：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法定代表人：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委托代理人：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经      办：                              </w:t>
      </w:r>
    </w:p>
    <w:p>
      <w:pPr>
        <w:ind w:firstLine="240" w:firstLineChars="100"/>
        <w:rPr>
          <w:rFonts w:hint="eastAsia" w:ascii="宋体" w:hAnsi="宋体"/>
          <w:color w:val="000000"/>
          <w:sz w:val="24"/>
          <w:szCs w:val="24"/>
        </w:rPr>
      </w:pPr>
      <w:r>
        <w:rPr>
          <w:rFonts w:hint="eastAsia" w:ascii="宋体" w:hAnsi="宋体"/>
          <w:color w:val="000000"/>
          <w:sz w:val="24"/>
          <w:szCs w:val="24"/>
        </w:rPr>
        <w:t xml:space="preserve">乙      方： </w:t>
      </w:r>
    </w:p>
    <w:p>
      <w:pPr>
        <w:ind w:firstLine="240" w:firstLineChars="100"/>
        <w:rPr>
          <w:rFonts w:hint="eastAsia" w:ascii="宋体" w:hAnsi="宋体"/>
          <w:color w:val="000000"/>
          <w:sz w:val="24"/>
          <w:szCs w:val="24"/>
        </w:rPr>
      </w:pPr>
      <w:r>
        <w:rPr>
          <w:rFonts w:hint="eastAsia" w:ascii="宋体" w:hAnsi="宋体"/>
          <w:color w:val="000000"/>
          <w:sz w:val="24"/>
          <w:szCs w:val="24"/>
        </w:rPr>
        <w:t>住      所：</w:t>
      </w:r>
    </w:p>
    <w:p>
      <w:pPr>
        <w:ind w:firstLine="240" w:firstLineChars="100"/>
        <w:rPr>
          <w:rFonts w:hint="eastAsia" w:ascii="宋体" w:hAnsi="宋体"/>
          <w:color w:val="000000"/>
          <w:sz w:val="24"/>
          <w:szCs w:val="24"/>
        </w:rPr>
      </w:pPr>
      <w:r>
        <w:rPr>
          <w:rFonts w:hint="eastAsia" w:ascii="宋体" w:hAnsi="宋体"/>
          <w:color w:val="000000"/>
          <w:sz w:val="24"/>
          <w:szCs w:val="24"/>
        </w:rPr>
        <w:t>法定代表人：</w:t>
      </w:r>
    </w:p>
    <w:p>
      <w:pPr>
        <w:ind w:firstLine="240" w:firstLineChars="100"/>
        <w:rPr>
          <w:rFonts w:hint="eastAsia" w:ascii="宋体" w:hAnsi="宋体"/>
          <w:color w:val="000000"/>
          <w:sz w:val="24"/>
          <w:szCs w:val="24"/>
        </w:rPr>
      </w:pPr>
      <w:r>
        <w:rPr>
          <w:rFonts w:hint="eastAsia" w:ascii="宋体" w:hAnsi="宋体"/>
          <w:color w:val="000000"/>
          <w:sz w:val="24"/>
          <w:szCs w:val="24"/>
        </w:rPr>
        <w:t>经      办：</w:t>
      </w:r>
    </w:p>
    <w:p>
      <w:pPr>
        <w:ind w:firstLine="240" w:firstLineChars="100"/>
        <w:rPr>
          <w:rFonts w:hint="eastAsia" w:ascii="宋体" w:hAnsi="宋体"/>
          <w:color w:val="000000"/>
          <w:sz w:val="24"/>
          <w:szCs w:val="24"/>
        </w:rPr>
      </w:pPr>
      <w:r>
        <w:rPr>
          <w:rFonts w:hint="eastAsia" w:ascii="宋体" w:hAnsi="宋体"/>
          <w:color w:val="000000"/>
          <w:sz w:val="24"/>
          <w:szCs w:val="24"/>
        </w:rPr>
        <w:t>年     月    日</w:t>
      </w:r>
    </w:p>
    <w:p>
      <w:pPr>
        <w:pStyle w:val="9"/>
        <w:rPr>
          <w:rFonts w:hint="eastAsia" w:ascii="宋体" w:hAnsi="宋体" w:cs="宋体"/>
          <w:sz w:val="24"/>
        </w:rPr>
      </w:pPr>
    </w:p>
    <w:p>
      <w:pPr>
        <w:rPr>
          <w:rFonts w:hint="eastAsia" w:ascii="宋体" w:hAnsi="宋体" w:cs="宋体"/>
          <w:sz w:val="24"/>
        </w:rPr>
      </w:pPr>
    </w:p>
    <w:p>
      <w:pPr>
        <w:pStyle w:val="2"/>
        <w:rPr>
          <w:rFonts w:hint="eastAsia"/>
        </w:rPr>
      </w:pPr>
    </w:p>
    <w:p>
      <w:pPr>
        <w:pStyle w:val="9"/>
        <w:rPr>
          <w:rFonts w:hint="eastAsia" w:ascii="宋体" w:hAnsi="宋体" w:cs="宋体"/>
          <w:sz w:val="24"/>
        </w:rPr>
      </w:pPr>
    </w:p>
    <w:p>
      <w:pPr>
        <w:pStyle w:val="9"/>
        <w:ind w:left="0" w:leftChars="0" w:firstLine="0" w:firstLineChars="0"/>
        <w:rPr>
          <w:rFonts w:ascii="宋体" w:hAnsi="宋体" w:cs="宋体"/>
          <w:sz w:val="24"/>
        </w:rPr>
      </w:pPr>
    </w:p>
    <w:p>
      <w:pPr>
        <w:pStyle w:val="9"/>
        <w:rPr>
          <w:rFonts w:ascii="宋体" w:hAnsi="宋体" w:cs="宋体"/>
          <w:sz w:val="24"/>
        </w:rPr>
      </w:pPr>
    </w:p>
    <w:p>
      <w:pPr>
        <w:pStyle w:val="158"/>
        <w:numPr>
          <w:ilvl w:val="0"/>
          <w:numId w:val="12"/>
        </w:numPr>
        <w:spacing w:line="380" w:lineRule="exact"/>
        <w:jc w:val="center"/>
        <w:outlineLvl w:val="0"/>
        <w:rPr>
          <w:rFonts w:ascii="宋体" w:hAnsi="宋体"/>
          <w:b/>
          <w:color w:val="auto"/>
          <w:sz w:val="28"/>
          <w:szCs w:val="28"/>
        </w:rPr>
      </w:pPr>
      <w:bookmarkStart w:id="31" w:name="_Toc10926"/>
      <w:r>
        <w:rPr>
          <w:rFonts w:hint="eastAsia" w:ascii="宋体" w:hAnsi="宋体"/>
          <w:b/>
          <w:color w:val="auto"/>
          <w:sz w:val="28"/>
          <w:szCs w:val="28"/>
        </w:rPr>
        <w:t>投标文件格式</w:t>
      </w:r>
      <w:bookmarkEnd w:id="31"/>
    </w:p>
    <w:p>
      <w:pPr>
        <w:pStyle w:val="158"/>
        <w:spacing w:line="380" w:lineRule="exact"/>
        <w:jc w:val="center"/>
        <w:rPr>
          <w:rFonts w:ascii="宋体" w:hAnsi="宋体"/>
          <w:b/>
          <w:color w:val="auto"/>
          <w:sz w:val="28"/>
          <w:szCs w:val="28"/>
        </w:rPr>
      </w:pPr>
    </w:p>
    <w:p>
      <w:pPr>
        <w:pStyle w:val="158"/>
        <w:spacing w:line="480" w:lineRule="auto"/>
        <w:jc w:val="left"/>
        <w:outlineLvl w:val="0"/>
        <w:rPr>
          <w:rFonts w:hint="default" w:ascii="仿宋_GB2312" w:hAnsi="宋体" w:eastAsia="仿宋_GB2312"/>
          <w:sz w:val="28"/>
          <w:szCs w:val="28"/>
          <w:bdr w:val="single" w:color="auto" w:sz="4" w:space="0"/>
          <w:lang w:val="en-US" w:eastAsia="zh-CN"/>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 xml:space="preserve"> </w:t>
      </w:r>
      <w:bookmarkStart w:id="32" w:name="_Toc18369"/>
      <w:r>
        <w:rPr>
          <w:rFonts w:hint="eastAsia" w:ascii="仿宋_GB2312" w:hAnsi="宋体" w:eastAsia="仿宋_GB2312"/>
          <w:sz w:val="28"/>
          <w:szCs w:val="28"/>
          <w:bdr w:val="single" w:color="auto" w:sz="4" w:space="0"/>
        </w:rPr>
        <w:t>正本</w:t>
      </w:r>
      <w:r>
        <w:rPr>
          <w:rFonts w:hint="eastAsia" w:ascii="仿宋_GB2312" w:hAnsi="宋体" w:eastAsia="仿宋_GB2312"/>
          <w:sz w:val="28"/>
          <w:szCs w:val="28"/>
          <w:bdr w:val="single" w:color="auto" w:sz="4" w:space="0"/>
          <w:lang w:val="en-US" w:eastAsia="zh-CN"/>
        </w:rPr>
        <w:t>/副本</w:t>
      </w:r>
      <w:bookmarkEnd w:id="32"/>
    </w:p>
    <w:p>
      <w:pPr>
        <w:pStyle w:val="158"/>
        <w:spacing w:line="380" w:lineRule="exact"/>
        <w:jc w:val="center"/>
        <w:rPr>
          <w:rFonts w:ascii="仿宋_GB2312" w:hAnsi="宋体" w:eastAsia="仿宋_GB2312"/>
          <w:sz w:val="28"/>
          <w:szCs w:val="28"/>
        </w:rPr>
      </w:pPr>
    </w:p>
    <w:p>
      <w:pPr>
        <w:ind w:left="140" w:right="980" w:hanging="140"/>
        <w:jc w:val="center"/>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 xml:space="preserve"> （项目名称）</w:t>
      </w:r>
    </w:p>
    <w:p>
      <w:pPr>
        <w:ind w:left="100" w:hanging="100"/>
        <w:rPr>
          <w:rFonts w:ascii="宋体" w:hAnsi="宋体"/>
          <w:color w:val="000000"/>
          <w:sz w:val="28"/>
          <w:szCs w:val="28"/>
        </w:rPr>
      </w:pPr>
      <w:r>
        <w:rPr>
          <w:rFonts w:hint="eastAsia" w:ascii="宋体" w:hAnsi="宋体"/>
          <w:color w:val="000000"/>
          <w:sz w:val="20"/>
        </w:rPr>
        <w:t xml:space="preserve">             </w:t>
      </w:r>
    </w:p>
    <w:p>
      <w:pPr>
        <w:ind w:firstLine="280" w:firstLineChars="100"/>
        <w:outlineLvl w:val="0"/>
        <w:rPr>
          <w:rFonts w:ascii="宋体" w:hAnsi="宋体"/>
          <w:color w:val="000000"/>
          <w:sz w:val="28"/>
          <w:szCs w:val="28"/>
          <w:u w:val="single"/>
        </w:rPr>
      </w:pPr>
      <w:r>
        <w:rPr>
          <w:rFonts w:hint="eastAsia" w:ascii="宋体" w:hAnsi="宋体"/>
          <w:color w:val="000000"/>
          <w:sz w:val="28"/>
          <w:szCs w:val="28"/>
        </w:rPr>
        <w:t xml:space="preserve">     </w:t>
      </w:r>
      <w:bookmarkStart w:id="33" w:name="_Toc22871"/>
      <w:r>
        <w:rPr>
          <w:rFonts w:hint="eastAsia" w:ascii="宋体" w:hAnsi="宋体"/>
          <w:color w:val="000000"/>
          <w:sz w:val="28"/>
          <w:szCs w:val="28"/>
        </w:rPr>
        <w:t>招标文件编号：</w:t>
      </w:r>
      <w:bookmarkEnd w:id="33"/>
      <w:r>
        <w:rPr>
          <w:rFonts w:hint="eastAsia" w:ascii="宋体" w:hAnsi="宋体"/>
          <w:color w:val="000000"/>
          <w:sz w:val="28"/>
          <w:szCs w:val="28"/>
        </w:rPr>
        <w:t xml:space="preserve"> </w:t>
      </w:r>
      <w:r>
        <w:rPr>
          <w:rFonts w:hint="eastAsia" w:ascii="宋体" w:hAnsi="宋体"/>
          <w:color w:val="000000"/>
          <w:sz w:val="28"/>
          <w:szCs w:val="28"/>
          <w:u w:val="single"/>
        </w:rPr>
        <w:t xml:space="preserve">                      </w:t>
      </w: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100" w:hanging="100"/>
        <w:rPr>
          <w:rFonts w:ascii="宋体" w:hAnsi="宋体"/>
          <w:color w:val="000000"/>
          <w:sz w:val="20"/>
        </w:rPr>
      </w:pPr>
    </w:p>
    <w:p>
      <w:pPr>
        <w:ind w:left="221" w:hanging="221"/>
        <w:jc w:val="center"/>
        <w:rPr>
          <w:rFonts w:ascii="宋体" w:hAnsi="宋体"/>
          <w:b/>
          <w:bCs/>
          <w:color w:val="000000"/>
          <w:sz w:val="44"/>
          <w:szCs w:val="44"/>
        </w:rPr>
      </w:pPr>
      <w:r>
        <w:rPr>
          <w:rFonts w:hint="eastAsia" w:ascii="宋体" w:hAnsi="宋体"/>
          <w:b/>
          <w:bCs/>
          <w:color w:val="000000"/>
          <w:sz w:val="44"/>
          <w:szCs w:val="44"/>
        </w:rPr>
        <w:t>投  标  文  件</w:t>
      </w:r>
    </w:p>
    <w:p>
      <w:pPr>
        <w:ind w:left="141" w:hanging="141"/>
        <w:rPr>
          <w:rFonts w:ascii="宋体" w:hAnsi="宋体"/>
          <w:b/>
          <w:bCs/>
          <w:color w:val="000000"/>
          <w:sz w:val="28"/>
          <w:szCs w:val="28"/>
        </w:rPr>
      </w:pPr>
    </w:p>
    <w:p>
      <w:pPr>
        <w:ind w:left="105" w:hanging="105"/>
        <w:rPr>
          <w:rFonts w:ascii="宋体" w:hAnsi="宋体"/>
          <w:color w:val="000000"/>
        </w:rPr>
      </w:pPr>
    </w:p>
    <w:p>
      <w:pPr>
        <w:ind w:left="150" w:hanging="150"/>
        <w:rPr>
          <w:rFonts w:ascii="宋体" w:hAnsi="宋体"/>
          <w:bCs/>
          <w:color w:val="000000"/>
          <w:sz w:val="30"/>
          <w:szCs w:val="30"/>
        </w:rPr>
      </w:pPr>
    </w:p>
    <w:p>
      <w:pPr>
        <w:ind w:left="150" w:hanging="150"/>
        <w:rPr>
          <w:rFonts w:ascii="宋体" w:hAnsi="宋体"/>
          <w:bCs/>
          <w:color w:val="000000"/>
          <w:sz w:val="30"/>
          <w:szCs w:val="30"/>
        </w:rPr>
      </w:pPr>
    </w:p>
    <w:p>
      <w:pPr>
        <w:ind w:left="150" w:hanging="150"/>
        <w:rPr>
          <w:rFonts w:ascii="宋体" w:hAnsi="宋体"/>
          <w:bCs/>
          <w:color w:val="000000"/>
          <w:sz w:val="30"/>
          <w:szCs w:val="30"/>
        </w:rPr>
      </w:pPr>
    </w:p>
    <w:p>
      <w:pPr>
        <w:ind w:left="140" w:hanging="140"/>
        <w:outlineLvl w:val="0"/>
        <w:rPr>
          <w:rFonts w:ascii="宋体" w:hAnsi="宋体"/>
          <w:color w:val="000000"/>
          <w:sz w:val="28"/>
          <w:szCs w:val="28"/>
          <w:u w:val="single"/>
        </w:rPr>
      </w:pPr>
      <w:r>
        <w:rPr>
          <w:rFonts w:hint="eastAsia" w:ascii="宋体" w:hAnsi="宋体"/>
          <w:color w:val="000000"/>
          <w:sz w:val="28"/>
          <w:szCs w:val="28"/>
        </w:rPr>
        <w:t xml:space="preserve">      </w:t>
      </w:r>
      <w:bookmarkStart w:id="34" w:name="_Toc28823"/>
      <w:r>
        <w:rPr>
          <w:rFonts w:hint="eastAsia" w:ascii="宋体" w:hAnsi="宋体"/>
          <w:color w:val="000000"/>
          <w:sz w:val="28"/>
          <w:szCs w:val="28"/>
        </w:rPr>
        <w:t>投标人：</w:t>
      </w:r>
      <w:r>
        <w:rPr>
          <w:rFonts w:hint="eastAsia" w:ascii="宋体" w:hAnsi="宋体"/>
          <w:color w:val="000000"/>
          <w:sz w:val="28"/>
          <w:szCs w:val="28"/>
          <w:u w:val="single"/>
        </w:rPr>
        <w:t xml:space="preserve">                              </w:t>
      </w:r>
      <w:r>
        <w:rPr>
          <w:rFonts w:hint="eastAsia" w:ascii="宋体" w:hAnsi="宋体"/>
          <w:color w:val="000000"/>
          <w:sz w:val="28"/>
          <w:szCs w:val="28"/>
        </w:rPr>
        <w:t>（盖单位章）</w:t>
      </w:r>
      <w:bookmarkEnd w:id="34"/>
    </w:p>
    <w:p>
      <w:pPr>
        <w:ind w:left="140" w:hanging="140"/>
        <w:jc w:val="center"/>
        <w:rPr>
          <w:rFonts w:ascii="宋体" w:hAnsi="宋体"/>
          <w:color w:val="000000"/>
          <w:sz w:val="28"/>
          <w:szCs w:val="28"/>
        </w:rPr>
      </w:pPr>
    </w:p>
    <w:p>
      <w:pPr>
        <w:ind w:firstLine="700" w:firstLineChars="250"/>
        <w:outlineLvl w:val="0"/>
        <w:rPr>
          <w:rFonts w:ascii="宋体" w:hAnsi="宋体"/>
          <w:color w:val="000000"/>
          <w:sz w:val="28"/>
          <w:szCs w:val="28"/>
        </w:rPr>
      </w:pPr>
      <w:r>
        <w:rPr>
          <w:rFonts w:hint="eastAsia" w:ascii="宋体" w:hAnsi="宋体"/>
          <w:color w:val="000000"/>
          <w:sz w:val="28"/>
          <w:szCs w:val="28"/>
        </w:rPr>
        <w:t xml:space="preserve"> </w:t>
      </w:r>
      <w:bookmarkStart w:id="35" w:name="_Toc29565"/>
      <w:r>
        <w:rPr>
          <w:rFonts w:hint="eastAsia" w:ascii="宋体" w:hAnsi="宋体"/>
          <w:color w:val="000000"/>
          <w:sz w:val="28"/>
          <w:szCs w:val="28"/>
        </w:rPr>
        <w:t>法定代表人：</w:t>
      </w:r>
      <w:r>
        <w:rPr>
          <w:rFonts w:hint="eastAsia" w:ascii="宋体" w:hAnsi="宋体"/>
          <w:color w:val="000000"/>
          <w:sz w:val="28"/>
          <w:szCs w:val="28"/>
          <w:u w:val="single"/>
        </w:rPr>
        <w:t xml:space="preserve">                          </w:t>
      </w:r>
      <w:r>
        <w:rPr>
          <w:rFonts w:hint="eastAsia" w:ascii="宋体" w:hAnsi="宋体"/>
          <w:color w:val="000000"/>
          <w:sz w:val="28"/>
          <w:szCs w:val="28"/>
        </w:rPr>
        <w:t>（签字或盖章）</w:t>
      </w:r>
      <w:bookmarkEnd w:id="35"/>
    </w:p>
    <w:p>
      <w:pPr>
        <w:ind w:left="105" w:hanging="105"/>
        <w:jc w:val="center"/>
        <w:rPr>
          <w:rFonts w:ascii="宋体" w:hAnsi="宋体"/>
          <w:color w:val="000000"/>
        </w:rPr>
      </w:pPr>
      <w:r>
        <w:rPr>
          <w:rFonts w:hint="eastAsia" w:ascii="宋体" w:hAnsi="宋体"/>
          <w:color w:val="000000"/>
        </w:rPr>
        <w:t xml:space="preserve">      </w:t>
      </w:r>
    </w:p>
    <w:p>
      <w:pPr>
        <w:ind w:left="105" w:hanging="105"/>
        <w:jc w:val="center"/>
        <w:rPr>
          <w:rFonts w:ascii="宋体" w:hAnsi="宋体"/>
          <w:color w:val="000000"/>
        </w:rPr>
      </w:pPr>
    </w:p>
    <w:p>
      <w:pPr>
        <w:ind w:left="140" w:hanging="140"/>
        <w:jc w:val="center"/>
        <w:rPr>
          <w:rFonts w:ascii="宋体" w:hAnsi="宋体"/>
          <w:color w:val="000000"/>
          <w:sz w:val="28"/>
          <w:szCs w:val="28"/>
        </w:rPr>
      </w:pPr>
      <w:r>
        <w:rPr>
          <w:rFonts w:hint="eastAsia" w:ascii="宋体" w:hAnsi="宋体"/>
          <w:color w:val="000000"/>
          <w:sz w:val="28"/>
          <w:szCs w:val="28"/>
        </w:rPr>
        <w:t xml:space="preserve"> 年        月        日</w:t>
      </w:r>
    </w:p>
    <w:p>
      <w:pPr>
        <w:ind w:left="0" w:leftChars="0" w:firstLine="0" w:firstLineChars="0"/>
        <w:jc w:val="both"/>
        <w:rPr>
          <w:rFonts w:ascii="宋体" w:hAnsi="宋体"/>
          <w:b/>
          <w:bCs/>
          <w:color w:val="000000"/>
          <w:sz w:val="44"/>
          <w:szCs w:val="44"/>
        </w:rPr>
      </w:pPr>
    </w:p>
    <w:p>
      <w:pPr>
        <w:ind w:left="221" w:hanging="221"/>
        <w:jc w:val="center"/>
        <w:rPr>
          <w:rFonts w:hint="eastAsia" w:ascii="宋体" w:hAnsi="宋体" w:eastAsia="宋体" w:cs="Times New Roman"/>
          <w:b/>
          <w:color w:val="auto"/>
          <w:kern w:val="0"/>
          <w:sz w:val="28"/>
          <w:szCs w:val="28"/>
          <w:lang w:val="en-US" w:eastAsia="zh-CN" w:bidi="ar-SA"/>
        </w:rPr>
      </w:pPr>
      <w:r>
        <w:rPr>
          <w:rFonts w:hint="eastAsia" w:ascii="宋体" w:hAnsi="宋体" w:eastAsia="宋体" w:cs="Times New Roman"/>
          <w:b/>
          <w:color w:val="auto"/>
          <w:kern w:val="0"/>
          <w:sz w:val="28"/>
          <w:szCs w:val="28"/>
          <w:lang w:val="en-US" w:eastAsia="zh-CN" w:bidi="ar-SA"/>
        </w:rPr>
        <w:t>第一部分</w:t>
      </w:r>
      <w:r>
        <w:rPr>
          <w:rFonts w:hint="eastAsia" w:ascii="宋体" w:hAnsi="宋体" w:cs="Times New Roman"/>
          <w:b/>
          <w:color w:val="auto"/>
          <w:kern w:val="0"/>
          <w:sz w:val="28"/>
          <w:szCs w:val="28"/>
          <w:lang w:val="en-US" w:eastAsia="zh-CN" w:bidi="ar-SA"/>
        </w:rPr>
        <w:t xml:space="preserve"> </w:t>
      </w:r>
      <w:r>
        <w:rPr>
          <w:rFonts w:hint="eastAsia" w:ascii="宋体" w:hAnsi="宋体" w:eastAsia="宋体" w:cs="Times New Roman"/>
          <w:b/>
          <w:color w:val="auto"/>
          <w:kern w:val="0"/>
          <w:sz w:val="28"/>
          <w:szCs w:val="28"/>
          <w:lang w:val="en-US" w:eastAsia="zh-CN" w:bidi="ar-SA"/>
        </w:rPr>
        <w:t>经济报价部分</w:t>
      </w:r>
    </w:p>
    <w:p>
      <w:pPr>
        <w:spacing w:line="440" w:lineRule="exact"/>
        <w:ind w:left="120" w:hanging="120"/>
        <w:jc w:val="center"/>
        <w:outlineLvl w:val="0"/>
        <w:rPr>
          <w:rFonts w:ascii="宋体" w:hAnsi="宋体" w:cs="宋体"/>
          <w:sz w:val="24"/>
          <w:lang w:val="zh-CN"/>
        </w:rPr>
      </w:pPr>
      <w:bookmarkStart w:id="36" w:name="_Toc19147"/>
      <w:r>
        <w:rPr>
          <w:rFonts w:hint="eastAsia" w:ascii="宋体" w:hAnsi="宋体" w:cs="宋体"/>
          <w:sz w:val="24"/>
          <w:lang w:val="zh-CN"/>
        </w:rPr>
        <w:t>投标承诺书（一）</w:t>
      </w:r>
      <w:bookmarkEnd w:id="36"/>
    </w:p>
    <w:p>
      <w:pPr>
        <w:spacing w:line="440" w:lineRule="exact"/>
        <w:ind w:left="120" w:hanging="120"/>
        <w:jc w:val="center"/>
        <w:rPr>
          <w:rFonts w:ascii="宋体" w:hAnsi="宋体" w:cs="宋体"/>
          <w:color w:val="FF0000"/>
          <w:sz w:val="24"/>
          <w:u w:val="single"/>
        </w:rPr>
      </w:pPr>
    </w:p>
    <w:p>
      <w:pPr>
        <w:spacing w:line="500" w:lineRule="exact"/>
        <w:ind w:firstLine="480" w:firstLineChars="200"/>
        <w:rPr>
          <w:rFonts w:hint="default" w:ascii="宋体" w:hAnsi="宋体" w:cs="宋体"/>
          <w:sz w:val="24"/>
          <w:u w:val="single"/>
          <w:lang w:val="en-US" w:eastAsia="zh-CN"/>
        </w:rPr>
      </w:pPr>
      <w:r>
        <w:rPr>
          <w:rFonts w:hint="eastAsia" w:ascii="宋体" w:hAnsi="宋体" w:cs="宋体"/>
          <w:sz w:val="24"/>
          <w:u w:val="none"/>
        </w:rPr>
        <w:t>致（招标人）：</w:t>
      </w:r>
      <w:r>
        <w:rPr>
          <w:rFonts w:hint="eastAsia" w:ascii="宋体" w:hAnsi="宋体" w:cs="宋体"/>
          <w:sz w:val="24"/>
          <w:u w:val="single"/>
          <w:lang w:val="en-US" w:eastAsia="zh-CN"/>
        </w:rPr>
        <w:t xml:space="preserve">             </w:t>
      </w:r>
    </w:p>
    <w:p>
      <w:pPr>
        <w:spacing w:line="500" w:lineRule="exact"/>
        <w:ind w:firstLine="480" w:firstLineChars="200"/>
        <w:rPr>
          <w:rFonts w:ascii="宋体" w:hAnsi="宋体" w:cs="宋体"/>
          <w:sz w:val="24"/>
        </w:rPr>
      </w:pPr>
      <w:r>
        <w:rPr>
          <w:rFonts w:hint="eastAsia" w:ascii="宋体" w:hAnsi="宋体" w:cs="宋体"/>
          <w:sz w:val="24"/>
        </w:rPr>
        <w:t xml:space="preserve"> 1.在研究了上述项目的招标文件后，我们愿意遵照招标文件的要求，参加</w:t>
      </w:r>
      <w:r>
        <w:rPr>
          <w:rFonts w:hint="eastAsia" w:ascii="宋体" w:hAnsi="宋体" w:cs="宋体"/>
          <w:sz w:val="24"/>
          <w:u w:val="single"/>
        </w:rPr>
        <w:t xml:space="preserve">                                                </w:t>
      </w:r>
      <w:r>
        <w:rPr>
          <w:rFonts w:hint="eastAsia" w:ascii="宋体" w:hAnsi="宋体" w:cs="宋体"/>
          <w:sz w:val="24"/>
        </w:rPr>
        <w:t>的投标。</w:t>
      </w:r>
    </w:p>
    <w:p>
      <w:pPr>
        <w:spacing w:line="500" w:lineRule="exact"/>
        <w:ind w:firstLine="480" w:firstLineChars="200"/>
        <w:rPr>
          <w:rFonts w:ascii="宋体" w:hAnsi="宋体" w:cs="宋体"/>
          <w:sz w:val="24"/>
        </w:rPr>
      </w:pPr>
      <w:r>
        <w:rPr>
          <w:rFonts w:hint="eastAsia" w:ascii="宋体" w:hAnsi="宋体" w:cs="宋体"/>
          <w:sz w:val="24"/>
        </w:rPr>
        <w:t xml:space="preserve">2.如果贵单位接受我们的投标,我们将保证按照工作要求和统一安排，在 </w:t>
      </w:r>
      <w:r>
        <w:rPr>
          <w:rFonts w:hint="eastAsia" w:ascii="宋体" w:hAnsi="宋体" w:cs="宋体"/>
          <w:sz w:val="24"/>
          <w:u w:val="single"/>
          <w:lang w:val="en-US" w:eastAsia="zh-CN"/>
        </w:rPr>
        <w:t>2020</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lang w:val="en-US" w:eastAsia="zh-CN"/>
        </w:rPr>
        <w:t>6</w:t>
      </w:r>
      <w:r>
        <w:rPr>
          <w:rFonts w:hint="eastAsia" w:ascii="宋体" w:hAnsi="宋体" w:cs="宋体"/>
          <w:sz w:val="24"/>
          <w:lang w:val="en-US" w:eastAsia="zh-CN"/>
        </w:rPr>
        <w:t>月</w:t>
      </w:r>
      <w:r>
        <w:rPr>
          <w:rFonts w:hint="eastAsia" w:ascii="宋体" w:hAnsi="宋体" w:cs="宋体"/>
          <w:sz w:val="24"/>
          <w:u w:val="single"/>
          <w:lang w:val="en-US" w:eastAsia="zh-CN"/>
        </w:rPr>
        <w:t>10</w:t>
      </w:r>
      <w:r>
        <w:rPr>
          <w:rFonts w:hint="eastAsia" w:ascii="宋体" w:hAnsi="宋体" w:cs="宋体"/>
          <w:sz w:val="24"/>
          <w:lang w:val="en-US" w:eastAsia="zh-CN"/>
        </w:rPr>
        <w:t>日前</w:t>
      </w:r>
      <w:r>
        <w:rPr>
          <w:rFonts w:hint="eastAsia" w:ascii="宋体" w:hAnsi="宋体" w:cs="宋体"/>
          <w:sz w:val="24"/>
        </w:rPr>
        <w:t>按照规定完成贵单位委托工作。</w:t>
      </w:r>
    </w:p>
    <w:p>
      <w:pPr>
        <w:spacing w:line="500" w:lineRule="exact"/>
        <w:ind w:firstLine="360" w:firstLineChars="150"/>
        <w:rPr>
          <w:rFonts w:ascii="宋体" w:hAnsi="宋体" w:cs="宋体"/>
          <w:sz w:val="24"/>
        </w:rPr>
      </w:pPr>
      <w:r>
        <w:rPr>
          <w:rFonts w:hint="eastAsia" w:ascii="宋体" w:hAnsi="宋体" w:cs="宋体"/>
          <w:sz w:val="24"/>
        </w:rPr>
        <w:t xml:space="preserve"> 3.我们同意从规定的开标之日至评标结束期内严格遵守本投标书的各项承诺，本投标书始终将对我方具有约束力，并随时接受中标。</w:t>
      </w:r>
    </w:p>
    <w:p>
      <w:pPr>
        <w:spacing w:line="500" w:lineRule="exact"/>
        <w:ind w:firstLine="480" w:firstLineChars="200"/>
        <w:rPr>
          <w:rFonts w:ascii="宋体" w:hAnsi="宋体" w:cs="宋体"/>
          <w:sz w:val="24"/>
        </w:rPr>
      </w:pPr>
      <w:r>
        <w:rPr>
          <w:rFonts w:hint="eastAsia" w:ascii="宋体" w:hAnsi="宋体" w:cs="宋体"/>
          <w:sz w:val="24"/>
        </w:rPr>
        <w:t>4.在年度委托合同正式签署生效之前，本投标书连同贵单位的中标通知书将构成双方之间共同遵守的文件，对双方具有约束力。</w:t>
      </w:r>
    </w:p>
    <w:p>
      <w:pPr>
        <w:spacing w:line="500" w:lineRule="exact"/>
        <w:ind w:firstLine="360" w:firstLineChars="150"/>
        <w:rPr>
          <w:rFonts w:ascii="宋体" w:hAnsi="宋体" w:cs="宋体"/>
          <w:sz w:val="24"/>
        </w:rPr>
      </w:pPr>
      <w:r>
        <w:rPr>
          <w:rFonts w:hint="eastAsia" w:ascii="宋体" w:hAnsi="宋体" w:cs="宋体"/>
          <w:sz w:val="24"/>
        </w:rPr>
        <w:t xml:space="preserve"> 5.我们理解，贵单位不负担我们的任何投标费用。</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bookmarkStart w:id="37" w:name="OLE_LINK3"/>
      <w:bookmarkStart w:id="38" w:name="OLE_LINK2"/>
    </w:p>
    <w:p>
      <w:pPr>
        <w:spacing w:line="360" w:lineRule="exact"/>
        <w:ind w:left="120" w:hanging="120"/>
        <w:rPr>
          <w:rFonts w:ascii="宋体" w:hAnsi="宋体" w:cs="宋体"/>
          <w:sz w:val="24"/>
          <w:u w:val="single"/>
        </w:rPr>
      </w:pPr>
      <w:r>
        <w:rPr>
          <w:rFonts w:hint="eastAsia" w:ascii="宋体" w:hAnsi="宋体" w:cs="宋体"/>
          <w:sz w:val="24"/>
        </w:rPr>
        <w:t xml:space="preserve">投标人地址： </w:t>
      </w:r>
      <w:r>
        <w:rPr>
          <w:rFonts w:hint="eastAsia" w:ascii="宋体" w:hAnsi="宋体" w:cs="宋体"/>
          <w:sz w:val="24"/>
          <w:u w:val="single"/>
        </w:rPr>
        <w:t xml:space="preserve">           </w:t>
      </w:r>
    </w:p>
    <w:p>
      <w:pPr>
        <w:spacing w:line="360" w:lineRule="exact"/>
        <w:ind w:left="120" w:hanging="120"/>
        <w:rPr>
          <w:rFonts w:ascii="宋体" w:hAnsi="宋体" w:cs="宋体"/>
          <w:sz w:val="24"/>
        </w:rPr>
      </w:pPr>
    </w:p>
    <w:p>
      <w:pPr>
        <w:spacing w:line="360" w:lineRule="exact"/>
        <w:ind w:left="120" w:hanging="120"/>
        <w:rPr>
          <w:rFonts w:ascii="宋体" w:hAnsi="宋体" w:cs="宋体"/>
          <w:sz w:val="24"/>
          <w:u w:val="single"/>
        </w:rPr>
      </w:pPr>
      <w:r>
        <w:rPr>
          <w:rFonts w:hint="eastAsia" w:ascii="宋体" w:hAnsi="宋体" w:cs="宋体"/>
          <w:sz w:val="24"/>
        </w:rPr>
        <w:t>邮 政 编 码：</w:t>
      </w:r>
      <w:r>
        <w:rPr>
          <w:rFonts w:hint="eastAsia" w:ascii="宋体" w:hAnsi="宋体" w:cs="宋体"/>
          <w:sz w:val="24"/>
          <w:u w:val="single"/>
        </w:rPr>
        <w:t xml:space="preserve">           </w:t>
      </w:r>
      <w:r>
        <w:rPr>
          <w:rFonts w:hint="eastAsia" w:ascii="宋体" w:hAnsi="宋体" w:cs="宋体"/>
          <w:sz w:val="24"/>
        </w:rPr>
        <w:t xml:space="preserve">      投标人：</w:t>
      </w:r>
      <w:r>
        <w:rPr>
          <w:rFonts w:hint="eastAsia" w:ascii="宋体" w:hAnsi="宋体" w:cs="宋体"/>
          <w:sz w:val="24"/>
          <w:u w:val="single"/>
        </w:rPr>
        <w:t>（全称） （盖章）</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r>
        <w:rPr>
          <w:rFonts w:hint="eastAsia" w:ascii="宋体" w:hAnsi="宋体" w:cs="宋体"/>
          <w:sz w:val="24"/>
        </w:rPr>
        <w:t xml:space="preserve">电      话： </w:t>
      </w:r>
      <w:r>
        <w:rPr>
          <w:rFonts w:hint="eastAsia" w:ascii="宋体" w:hAnsi="宋体" w:cs="宋体"/>
          <w:sz w:val="24"/>
          <w:u w:val="single"/>
        </w:rPr>
        <w:t xml:space="preserve">           </w:t>
      </w:r>
      <w:r>
        <w:rPr>
          <w:rFonts w:hint="eastAsia" w:ascii="宋体" w:hAnsi="宋体" w:cs="宋体"/>
          <w:sz w:val="24"/>
        </w:rPr>
        <w:t xml:space="preserve">      法定代表人:</w:t>
      </w:r>
      <w:r>
        <w:rPr>
          <w:rFonts w:hint="eastAsia" w:ascii="宋体" w:hAnsi="宋体" w:cs="宋体"/>
          <w:sz w:val="24"/>
          <w:u w:val="single"/>
        </w:rPr>
        <w:t xml:space="preserve">            </w:t>
      </w:r>
    </w:p>
    <w:p>
      <w:pPr>
        <w:spacing w:line="360" w:lineRule="exact"/>
        <w:ind w:left="120" w:hanging="120"/>
        <w:rPr>
          <w:rFonts w:ascii="宋体" w:hAnsi="宋体" w:cs="宋体"/>
          <w:sz w:val="24"/>
        </w:rPr>
      </w:pPr>
    </w:p>
    <w:p>
      <w:pPr>
        <w:spacing w:line="360" w:lineRule="exact"/>
        <w:ind w:left="120" w:hanging="120"/>
        <w:rPr>
          <w:rFonts w:ascii="宋体" w:hAnsi="宋体" w:cs="宋体"/>
          <w:sz w:val="24"/>
        </w:rPr>
      </w:pPr>
      <w:r>
        <w:rPr>
          <w:rFonts w:hint="eastAsia" w:ascii="宋体" w:hAnsi="宋体" w:cs="宋体"/>
          <w:sz w:val="24"/>
        </w:rPr>
        <w:t xml:space="preserve">传      真： </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（职务、姓名）  （签字或盖章）</w:t>
      </w:r>
    </w:p>
    <w:p>
      <w:pPr>
        <w:spacing w:line="360" w:lineRule="exact"/>
        <w:ind w:left="120" w:hanging="120"/>
        <w:jc w:val="right"/>
        <w:rPr>
          <w:rFonts w:ascii="宋体" w:hAnsi="宋体" w:cs="宋体"/>
          <w:sz w:val="24"/>
        </w:rPr>
      </w:pPr>
      <w:r>
        <w:rPr>
          <w:rFonts w:hint="eastAsia" w:ascii="宋体" w:hAnsi="宋体" w:cs="宋体"/>
          <w:sz w:val="24"/>
        </w:rPr>
        <w:t xml:space="preserve">           </w:t>
      </w:r>
    </w:p>
    <w:p>
      <w:pPr>
        <w:autoSpaceDE w:val="0"/>
        <w:autoSpaceDN w:val="0"/>
        <w:adjustRightInd w:val="0"/>
        <w:ind w:firstLine="4920" w:firstLineChars="2050"/>
        <w:rPr>
          <w:rFonts w:ascii="宋体" w:hAnsi="宋体" w:cs="宋体"/>
          <w:b/>
          <w:sz w:val="24"/>
          <w:lang w:val="zh-CN"/>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bookmarkEnd w:id="37"/>
      <w:bookmarkEnd w:id="38"/>
    </w:p>
    <w:p>
      <w:pPr>
        <w:autoSpaceDE w:val="0"/>
        <w:autoSpaceDN w:val="0"/>
        <w:adjustRightInd w:val="0"/>
        <w:ind w:left="120" w:hanging="120"/>
        <w:jc w:val="center"/>
        <w:rPr>
          <w:rFonts w:ascii="宋体" w:hAnsi="宋体" w:cs="宋体"/>
          <w:b/>
          <w:sz w:val="24"/>
          <w:lang w:val="zh-CN"/>
        </w:rPr>
      </w:pPr>
    </w:p>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br w:type="page"/>
      </w:r>
      <w:r>
        <w:rPr>
          <w:rFonts w:hint="eastAsia" w:ascii="宋体" w:hAnsi="宋体" w:cs="宋体"/>
          <w:sz w:val="24"/>
          <w:lang w:val="zh-CN"/>
        </w:rPr>
        <w:t xml:space="preserve"> </w:t>
      </w:r>
    </w:p>
    <w:p>
      <w:pPr>
        <w:autoSpaceDE w:val="0"/>
        <w:autoSpaceDN w:val="0"/>
        <w:adjustRightInd w:val="0"/>
        <w:ind w:left="120" w:hanging="120"/>
        <w:jc w:val="center"/>
        <w:outlineLvl w:val="0"/>
        <w:rPr>
          <w:rFonts w:ascii="宋体" w:hAnsi="宋体" w:cs="宋体"/>
          <w:sz w:val="24"/>
          <w:lang w:val="zh-CN"/>
        </w:rPr>
      </w:pPr>
      <w:bookmarkStart w:id="39" w:name="_Toc14099"/>
      <w:r>
        <w:rPr>
          <w:rFonts w:hint="eastAsia" w:ascii="宋体" w:hAnsi="宋体" w:cs="宋体"/>
          <w:sz w:val="24"/>
          <w:lang w:val="zh-CN"/>
        </w:rPr>
        <w:t>投标承诺书（二）</w:t>
      </w:r>
      <w:bookmarkEnd w:id="39"/>
    </w:p>
    <w:p>
      <w:pPr>
        <w:autoSpaceDE w:val="0"/>
        <w:autoSpaceDN w:val="0"/>
        <w:adjustRightInd w:val="0"/>
        <w:ind w:left="120" w:hanging="120"/>
        <w:jc w:val="center"/>
        <w:rPr>
          <w:rFonts w:ascii="宋体" w:hAnsi="宋体" w:cs="宋体"/>
          <w:b/>
          <w:bCs/>
          <w:sz w:val="24"/>
          <w:lang w:val="zh-CN"/>
        </w:rPr>
      </w:pPr>
    </w:p>
    <w:p>
      <w:pPr>
        <w:autoSpaceDE w:val="0"/>
        <w:autoSpaceDN w:val="0"/>
        <w:adjustRightInd w:val="0"/>
        <w:ind w:left="120" w:hanging="120"/>
        <w:rPr>
          <w:rFonts w:ascii="宋体" w:hAnsi="宋体" w:cs="宋体"/>
          <w:sz w:val="24"/>
          <w:u w:val="single"/>
          <w:lang w:val="zh-CN"/>
        </w:rPr>
      </w:pPr>
      <w:r>
        <w:rPr>
          <w:rFonts w:hint="eastAsia" w:ascii="宋体" w:hAnsi="宋体" w:cs="宋体"/>
          <w:sz w:val="24"/>
          <w:lang w:val="zh-CN"/>
        </w:rPr>
        <w:t>招标人：</w:t>
      </w:r>
      <w:r>
        <w:rPr>
          <w:rFonts w:hint="eastAsia" w:ascii="宋体" w:hAnsi="宋体" w:cs="宋体"/>
          <w:sz w:val="24"/>
          <w:u w:val="single"/>
          <w:lang w:val="zh-CN"/>
        </w:rPr>
        <w:t xml:space="preserve">                 </w:t>
      </w:r>
    </w:p>
    <w:p>
      <w:pPr>
        <w:autoSpaceDE w:val="0"/>
        <w:autoSpaceDN w:val="0"/>
        <w:adjustRightInd w:val="0"/>
        <w:ind w:left="120" w:hanging="120"/>
        <w:rPr>
          <w:rFonts w:ascii="宋体" w:hAnsi="宋体" w:cs="宋体"/>
          <w:sz w:val="24"/>
          <w:u w:val="single"/>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若我公司中标后，项目负责人为：</w:t>
      </w:r>
    </w:p>
    <w:p>
      <w:pPr>
        <w:autoSpaceDE w:val="0"/>
        <w:autoSpaceDN w:val="0"/>
        <w:adjustRightInd w:val="0"/>
        <w:ind w:left="120" w:hanging="120"/>
        <w:rPr>
          <w:rFonts w:ascii="宋体" w:hAnsi="宋体" w:cs="宋体"/>
          <w:sz w:val="24"/>
          <w:lang w:val="zh-CN"/>
        </w:rPr>
      </w:pPr>
    </w:p>
    <w:tbl>
      <w:tblPr>
        <w:tblStyle w:val="70"/>
        <w:tblW w:w="9855" w:type="dxa"/>
        <w:tblInd w:w="0" w:type="dxa"/>
        <w:tblLayout w:type="fixed"/>
        <w:tblCellMar>
          <w:top w:w="0" w:type="dxa"/>
          <w:left w:w="108" w:type="dxa"/>
          <w:bottom w:w="0" w:type="dxa"/>
          <w:right w:w="108" w:type="dxa"/>
        </w:tblCellMar>
      </w:tblPr>
      <w:tblGrid>
        <w:gridCol w:w="2463"/>
        <w:gridCol w:w="2464"/>
        <w:gridCol w:w="2464"/>
        <w:gridCol w:w="2464"/>
      </w:tblGrid>
      <w:tr>
        <w:tblPrEx>
          <w:tblCellMar>
            <w:top w:w="0" w:type="dxa"/>
            <w:left w:w="108" w:type="dxa"/>
            <w:bottom w:w="0" w:type="dxa"/>
            <w:right w:w="108" w:type="dxa"/>
          </w:tblCellMar>
        </w:tblPrEx>
        <w:trPr>
          <w:trHeight w:val="296"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姓名</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职称</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lang w:val="zh-CN"/>
              </w:rPr>
            </w:pPr>
          </w:p>
        </w:tc>
      </w:tr>
      <w:tr>
        <w:tblPrEx>
          <w:tblCellMar>
            <w:top w:w="0" w:type="dxa"/>
            <w:left w:w="108" w:type="dxa"/>
            <w:bottom w:w="0" w:type="dxa"/>
            <w:right w:w="108" w:type="dxa"/>
          </w:tblCellMar>
        </w:tblPrEx>
        <w:trPr>
          <w:trHeight w:val="327"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hint="default" w:ascii="宋体" w:hAnsi="宋体" w:eastAsia="宋体" w:cs="宋体"/>
                <w:sz w:val="24"/>
                <w:lang w:val="en-US" w:eastAsia="zh-CN"/>
              </w:rPr>
            </w:pPr>
            <w:r>
              <w:rPr>
                <w:rFonts w:hint="eastAsia" w:ascii="宋体" w:hAnsi="宋体" w:cs="宋体"/>
                <w:sz w:val="24"/>
                <w:lang w:val="en-US" w:eastAsia="zh-CN"/>
              </w:rPr>
              <w:t>联系电话</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专业</w:t>
            </w:r>
          </w:p>
        </w:tc>
        <w:tc>
          <w:tcPr>
            <w:tcW w:w="246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r>
      <w:tr>
        <w:tblPrEx>
          <w:tblCellMar>
            <w:top w:w="0" w:type="dxa"/>
            <w:left w:w="108" w:type="dxa"/>
            <w:bottom w:w="0" w:type="dxa"/>
            <w:right w:w="108" w:type="dxa"/>
          </w:tblCellMar>
        </w:tblPrEx>
        <w:trPr>
          <w:trHeight w:val="360" w:hRule="atLeast"/>
        </w:trPr>
        <w:tc>
          <w:tcPr>
            <w:tcW w:w="24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身份证号码</w:t>
            </w:r>
          </w:p>
        </w:tc>
        <w:tc>
          <w:tcPr>
            <w:tcW w:w="7392"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p>
        </w:tc>
      </w:tr>
    </w:tbl>
    <w:p>
      <w:pPr>
        <w:autoSpaceDE w:val="0"/>
        <w:autoSpaceDN w:val="0"/>
        <w:adjustRightInd w:val="0"/>
        <w:ind w:left="120" w:hanging="120"/>
        <w:rPr>
          <w:rFonts w:ascii="宋体" w:hAnsi="宋体" w:cs="宋体"/>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中标后，我公司派驻</w:t>
      </w:r>
      <w:r>
        <w:rPr>
          <w:rFonts w:hint="eastAsia" w:ascii="宋体" w:hAnsi="宋体" w:eastAsia="新宋体" w:cs="Times New Roman"/>
          <w:kern w:val="2"/>
          <w:sz w:val="24"/>
          <w:szCs w:val="24"/>
          <w:highlight w:val="none"/>
          <w:lang w:val="en-US" w:eastAsia="zh-CN" w:bidi="ar-SA"/>
        </w:rPr>
        <w:t>鉴定</w:t>
      </w:r>
      <w:r>
        <w:rPr>
          <w:rFonts w:hint="eastAsia" w:ascii="宋体" w:hAnsi="宋体" w:cs="宋体"/>
          <w:sz w:val="24"/>
        </w:rPr>
        <w:t>工作服务人员不少于</w:t>
      </w:r>
      <w:r>
        <w:rPr>
          <w:rFonts w:hint="eastAsia" w:ascii="宋体" w:hAnsi="宋体" w:cs="宋体"/>
          <w:sz w:val="24"/>
          <w:lang w:val="en-US" w:eastAsia="zh-CN"/>
        </w:rPr>
        <w:t>15</w:t>
      </w:r>
      <w:r>
        <w:rPr>
          <w:rFonts w:hint="eastAsia" w:ascii="宋体" w:hAnsi="宋体" w:cs="宋体"/>
          <w:sz w:val="24"/>
        </w:rPr>
        <w:t>人，并具有相关</w:t>
      </w:r>
      <w:r>
        <w:rPr>
          <w:rFonts w:hint="eastAsia" w:ascii="宋体" w:hAnsi="宋体" w:cs="宋体"/>
          <w:sz w:val="24"/>
          <w:lang w:val="en-US" w:eastAsia="zh-CN"/>
        </w:rPr>
        <w:t>工作经验</w:t>
      </w:r>
      <w:r>
        <w:rPr>
          <w:rFonts w:hint="eastAsia" w:ascii="宋体" w:hAnsi="宋体" w:cs="宋体"/>
          <w:sz w:val="24"/>
        </w:rPr>
        <w:t>，遇到集中上报阶段人员根据工作量相应增加，若由于特殊原因须更换项目负责人时，</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投标文件中填报的项目负责人、其它人员不得随意更换，如有特殊情况需要更换时，项目负责人罚款4万元，其它人员罚款2万元，且拟派人员必须通过甲方同意后方允许更换。</w:t>
      </w: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投标人：（盖章）</w:t>
      </w:r>
    </w:p>
    <w:p>
      <w:pPr>
        <w:autoSpaceDE w:val="0"/>
        <w:autoSpaceDN w:val="0"/>
        <w:adjustRightInd w:val="0"/>
        <w:spacing w:line="500" w:lineRule="exact"/>
        <w:ind w:left="120" w:hanging="120"/>
        <w:rPr>
          <w:rFonts w:ascii="宋体" w:hAnsi="宋体" w:cs="宋体"/>
          <w:sz w:val="24"/>
          <w:lang w:val="zh-CN"/>
        </w:rPr>
      </w:pPr>
    </w:p>
    <w:p>
      <w:pPr>
        <w:autoSpaceDE w:val="0"/>
        <w:autoSpaceDN w:val="0"/>
        <w:adjustRightInd w:val="0"/>
        <w:spacing w:line="500" w:lineRule="exact"/>
        <w:ind w:left="120" w:hanging="120"/>
        <w:rPr>
          <w:rFonts w:ascii="宋体" w:hAnsi="宋体" w:cs="宋体"/>
          <w:sz w:val="24"/>
          <w:lang w:val="zh-CN"/>
        </w:rPr>
      </w:pPr>
      <w:r>
        <w:rPr>
          <w:rFonts w:hint="eastAsia" w:ascii="宋体" w:hAnsi="宋体" w:cs="宋体"/>
          <w:sz w:val="24"/>
          <w:lang w:val="zh-CN"/>
        </w:rPr>
        <w:t>法定代表人或授权代理人：（签字或盖章）</w:t>
      </w:r>
    </w:p>
    <w:p>
      <w:pPr>
        <w:autoSpaceDE w:val="0"/>
        <w:autoSpaceDN w:val="0"/>
        <w:adjustRightInd w:val="0"/>
        <w:spacing w:line="500" w:lineRule="exact"/>
        <w:ind w:left="120" w:hanging="120"/>
        <w:rPr>
          <w:rFonts w:ascii="宋体" w:hAnsi="宋体" w:cs="宋体"/>
          <w:sz w:val="24"/>
          <w:lang w:val="zh-CN"/>
        </w:rPr>
      </w:pPr>
      <w:r>
        <w:rPr>
          <w:rFonts w:hint="eastAsia" w:ascii="宋体" w:hAnsi="宋体" w:cs="宋体"/>
          <w:sz w:val="24"/>
          <w:lang w:val="zh-CN"/>
        </w:rPr>
        <w:t xml:space="preserve">                                          日期：</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autoSpaceDE w:val="0"/>
        <w:autoSpaceDN w:val="0"/>
        <w:adjustRightInd w:val="0"/>
        <w:ind w:left="120" w:hanging="120"/>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rFonts w:ascii="宋体" w:hAnsi="宋体" w:cs="宋体"/>
          <w:sz w:val="24"/>
          <w:lang w:val="zh-CN"/>
        </w:rPr>
      </w:pPr>
    </w:p>
    <w:p>
      <w:pPr>
        <w:pStyle w:val="2"/>
        <w:rPr>
          <w:lang w:val="zh-CN"/>
        </w:rPr>
      </w:pPr>
    </w:p>
    <w:p>
      <w:pPr>
        <w:spacing w:line="460" w:lineRule="exact"/>
        <w:ind w:left="0" w:leftChars="0" w:firstLine="0" w:firstLineChars="0"/>
        <w:jc w:val="both"/>
        <w:rPr>
          <w:rFonts w:hint="eastAsia" w:ascii="宋体" w:hAnsi="宋体" w:cs="宋体"/>
          <w:b/>
          <w:sz w:val="24"/>
        </w:rPr>
      </w:pPr>
    </w:p>
    <w:p>
      <w:pPr>
        <w:spacing w:line="460" w:lineRule="exact"/>
        <w:ind w:left="120" w:hanging="120"/>
        <w:jc w:val="center"/>
        <w:rPr>
          <w:rFonts w:hint="eastAsia" w:ascii="宋体" w:hAnsi="宋体" w:cs="宋体"/>
          <w:b/>
          <w:sz w:val="24"/>
          <w:lang w:val="en-US" w:eastAsia="zh-CN"/>
        </w:rPr>
      </w:pPr>
    </w:p>
    <w:p>
      <w:pPr>
        <w:spacing w:line="460" w:lineRule="exact"/>
        <w:ind w:left="120" w:hanging="120"/>
        <w:jc w:val="center"/>
        <w:rPr>
          <w:rFonts w:ascii="宋体" w:hAnsi="宋体" w:cs="宋体"/>
          <w:b/>
          <w:sz w:val="24"/>
        </w:rPr>
      </w:pPr>
      <w:r>
        <w:rPr>
          <w:rFonts w:hint="eastAsia" w:ascii="宋体" w:hAnsi="宋体" w:cs="宋体"/>
          <w:b/>
          <w:sz w:val="24"/>
          <w:lang w:val="en-US" w:eastAsia="zh-CN"/>
        </w:rPr>
        <w:t>2</w:t>
      </w:r>
      <w:r>
        <w:rPr>
          <w:rFonts w:hint="eastAsia" w:ascii="宋体" w:hAnsi="宋体" w:cs="宋体"/>
          <w:b/>
          <w:sz w:val="24"/>
        </w:rPr>
        <w:t>、 报价一览表</w:t>
      </w:r>
    </w:p>
    <w:p>
      <w:pPr>
        <w:spacing w:line="460" w:lineRule="exact"/>
        <w:ind w:left="120" w:hanging="120"/>
        <w:rPr>
          <w:rFonts w:ascii="宋体" w:hAnsi="宋体" w:cs="宋体"/>
          <w:b/>
          <w:sz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项目名称：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项目编号：                                      </w:t>
      </w:r>
    </w:p>
    <w:tbl>
      <w:tblPr>
        <w:tblStyle w:val="70"/>
        <w:tblW w:w="93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95"/>
        <w:gridCol w:w="1185"/>
        <w:gridCol w:w="960"/>
        <w:gridCol w:w="945"/>
        <w:gridCol w:w="1590"/>
        <w:gridCol w:w="1785"/>
        <w:gridCol w:w="15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项目名称</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规格描述</w:t>
            </w: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0" w:firstLineChars="0"/>
              <w:jc w:val="both"/>
              <w:textAlignment w:val="auto"/>
              <w:rPr>
                <w:rFonts w:hint="eastAsia" w:ascii="宋体" w:hAnsi="宋体" w:cs="宋体"/>
                <w:sz w:val="24"/>
                <w:lang w:val="en-US" w:eastAsia="zh-CN"/>
              </w:rPr>
            </w:pPr>
            <w:r>
              <w:rPr>
                <w:rFonts w:hint="eastAsia" w:ascii="宋体" w:hAnsi="宋体" w:cs="宋体"/>
                <w:sz w:val="24"/>
                <w:lang w:val="en-US" w:eastAsia="zh-CN"/>
              </w:rPr>
              <w:t>单位</w:t>
            </w: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数量</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宋体" w:hAnsi="宋体" w:cs="宋体"/>
                <w:sz w:val="24"/>
                <w:lang w:val="en-US" w:eastAsia="zh-CN"/>
              </w:rPr>
            </w:pPr>
            <w:r>
              <w:rPr>
                <w:rFonts w:hint="eastAsia" w:ascii="宋体" w:hAnsi="宋体" w:cs="宋体"/>
                <w:sz w:val="24"/>
                <w:lang w:val="en-US" w:eastAsia="zh-CN"/>
              </w:rPr>
              <w:t>单价（元）</w:t>
            </w: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239" w:leftChars="114" w:right="0" w:firstLine="120" w:firstLineChars="50"/>
              <w:jc w:val="both"/>
              <w:textAlignment w:val="auto"/>
              <w:rPr>
                <w:rFonts w:hint="eastAsia" w:ascii="宋体" w:hAnsi="宋体" w:cs="宋体"/>
                <w:sz w:val="24"/>
                <w:lang w:val="en-US" w:eastAsia="zh-CN"/>
              </w:rPr>
            </w:pPr>
            <w:r>
              <w:rPr>
                <w:rFonts w:hint="eastAsia" w:ascii="宋体" w:hAnsi="宋体" w:cs="宋体"/>
                <w:sz w:val="24"/>
                <w:lang w:val="en-US" w:eastAsia="zh-CN"/>
              </w:rPr>
              <w:t>总价（元）</w:t>
            </w: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cs="宋体"/>
                <w:sz w:val="24"/>
                <w:lang w:val="en-US" w:eastAsia="zh-CN"/>
              </w:rPr>
            </w:pPr>
            <w:r>
              <w:rPr>
                <w:rFonts w:hint="eastAsia" w:ascii="宋体" w:hAnsi="宋体" w:cs="宋体"/>
                <w:sz w:val="24"/>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7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448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合计（人民币）</w:t>
            </w:r>
          </w:p>
        </w:tc>
        <w:tc>
          <w:tcPr>
            <w:tcW w:w="48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小写：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大写：</w:t>
            </w:r>
          </w:p>
        </w:tc>
      </w:tr>
    </w:tbl>
    <w:p>
      <w:pPr>
        <w:spacing w:line="640" w:lineRule="exact"/>
        <w:ind w:left="0" w:leftChars="0" w:firstLine="480" w:firstLineChars="200"/>
        <w:rPr>
          <w:rFonts w:ascii="宋体" w:hAnsi="宋体" w:cs="宋体"/>
          <w:sz w:val="24"/>
        </w:rPr>
      </w:pPr>
      <w:r>
        <w:rPr>
          <w:rFonts w:hint="eastAsia" w:ascii="宋体" w:hAnsi="宋体" w:cs="宋体"/>
          <w:sz w:val="24"/>
        </w:rPr>
        <w:t>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spacing w:line="460" w:lineRule="exact"/>
        <w:ind w:left="120" w:hanging="120"/>
        <w:rPr>
          <w:rFonts w:hint="eastAsia" w:ascii="宋体" w:hAnsi="宋体" w:cs="宋体"/>
          <w:sz w:val="24"/>
          <w:lang w:val="en-US" w:eastAsia="zh-CN"/>
        </w:rPr>
      </w:pPr>
      <w:r>
        <w:rPr>
          <w:rFonts w:hint="eastAsia" w:ascii="宋体" w:hAnsi="宋体" w:cs="宋体"/>
          <w:sz w:val="24"/>
        </w:rPr>
        <w:t>备 注</w:t>
      </w:r>
      <w:r>
        <w:rPr>
          <w:rFonts w:hint="eastAsia" w:ascii="宋体" w:hAnsi="宋体" w:cs="宋体"/>
          <w:sz w:val="24"/>
          <w:lang w:eastAsia="zh-CN"/>
        </w:rPr>
        <w:t>：</w:t>
      </w:r>
      <w:r>
        <w:rPr>
          <w:rFonts w:hint="eastAsia" w:ascii="宋体" w:hAnsi="宋体" w:cs="宋体"/>
          <w:sz w:val="24"/>
          <w:lang w:val="en-US" w:eastAsia="zh-CN"/>
        </w:rPr>
        <w:t>（1）报价货币为人民币；</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2）1、投标报价应包括完成采购范围内检测项目的全部费用，合同总价由一般检测项目和专项检测项目组成，包括该工程试验费、检测费、材料费、加载车辆租赁费及过磅费、包括民工在内的所有人员工资、管理费、利润、税金、协调费等发生的一切费用。采购人除此以外不支付其它费用，除非合同中另有规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  2、采购人提供的检测项目清单仅供参考，投标人应根据采购人提供的房屋现状、招标文件及法律法规规定需检测的项目核对检测项目清单，如投标人认为检测项目清单中有漏项，投标人可将其费用纳入单报价中，中标后招标人不再对价格作任何调整。招标文件另有约定的除外。</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 xml:space="preserve">  3、投标人根据本项目进展情况，结合相关标准和规定自行安排检测工作（包括人员、设备进出场等），满足项目进度需要；所有进出场费均由投标单位自行测算，费用纳入投标报价中，结算时招标人将不再另行支付。招标人除此以外不支付其它费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b/>
          <w:bCs/>
          <w:color w:val="000000"/>
          <w:sz w:val="44"/>
          <w:szCs w:val="44"/>
        </w:rPr>
      </w:pPr>
      <w:r>
        <w:rPr>
          <w:rFonts w:hint="eastAsia" w:ascii="宋体" w:hAnsi="宋体" w:cs="宋体"/>
          <w:sz w:val="24"/>
          <w:lang w:val="en-US" w:eastAsia="zh-CN"/>
        </w:rPr>
        <w:t xml:space="preserve">  4、投标人应充分考虑房屋现状，根据现场实际情况等因素，不同检测条件和检测复杂程度的变化，并在报价中一并考虑，结算时招标人将不再另行支付。</w:t>
      </w:r>
    </w:p>
    <w:p>
      <w:pPr>
        <w:pStyle w:val="2"/>
        <w:rPr>
          <w:rFonts w:hint="eastAsia"/>
        </w:rPr>
      </w:pPr>
    </w:p>
    <w:p>
      <w:pPr>
        <w:ind w:left="221" w:hanging="221"/>
        <w:jc w:val="center"/>
        <w:rPr>
          <w:rFonts w:hint="eastAsia" w:ascii="宋体" w:hAnsi="宋体" w:eastAsia="宋体" w:cs="Times New Roman"/>
          <w:b/>
          <w:color w:val="auto"/>
          <w:kern w:val="0"/>
          <w:sz w:val="28"/>
          <w:szCs w:val="28"/>
          <w:lang w:val="en-US" w:eastAsia="zh-CN" w:bidi="ar-SA"/>
        </w:rPr>
      </w:pPr>
      <w:r>
        <w:rPr>
          <w:rFonts w:hint="eastAsia" w:ascii="宋体" w:hAnsi="宋体" w:eastAsia="宋体" w:cs="Times New Roman"/>
          <w:b/>
          <w:color w:val="auto"/>
          <w:kern w:val="0"/>
          <w:sz w:val="28"/>
          <w:szCs w:val="28"/>
          <w:lang w:val="en-US" w:eastAsia="zh-CN" w:bidi="ar-SA"/>
        </w:rPr>
        <w:t>第二部分</w:t>
      </w:r>
      <w:r>
        <w:rPr>
          <w:rFonts w:hint="eastAsia" w:ascii="宋体" w:hAnsi="宋体" w:cs="Times New Roman"/>
          <w:b/>
          <w:color w:val="auto"/>
          <w:kern w:val="0"/>
          <w:sz w:val="28"/>
          <w:szCs w:val="28"/>
          <w:lang w:val="en-US" w:eastAsia="zh-CN" w:bidi="ar-SA"/>
        </w:rPr>
        <w:t xml:space="preserve">  </w:t>
      </w:r>
      <w:r>
        <w:rPr>
          <w:rFonts w:hint="eastAsia" w:ascii="宋体" w:hAnsi="宋体" w:eastAsia="宋体" w:cs="Times New Roman"/>
          <w:b/>
          <w:color w:val="auto"/>
          <w:kern w:val="0"/>
          <w:sz w:val="28"/>
          <w:szCs w:val="28"/>
          <w:lang w:val="en-US" w:eastAsia="zh-CN" w:bidi="ar-SA"/>
        </w:rPr>
        <w:t>商务部分</w:t>
      </w:r>
    </w:p>
    <w:p>
      <w:pPr>
        <w:spacing w:line="460" w:lineRule="exact"/>
        <w:ind w:left="120" w:hanging="120"/>
        <w:rPr>
          <w:rFonts w:ascii="宋体" w:hAnsi="宋体"/>
          <w:b/>
          <w:sz w:val="24"/>
        </w:rPr>
      </w:pPr>
    </w:p>
    <w:p>
      <w:pPr>
        <w:pStyle w:val="4"/>
        <w:numPr>
          <w:ilvl w:val="0"/>
          <w:numId w:val="13"/>
        </w:numPr>
        <w:spacing w:line="460" w:lineRule="exact"/>
        <w:ind w:left="120" w:hanging="120"/>
        <w:outlineLvl w:val="0"/>
        <w:rPr>
          <w:rFonts w:ascii="宋体" w:hAnsi="宋体" w:cs="宋体"/>
          <w:sz w:val="24"/>
          <w:szCs w:val="24"/>
        </w:rPr>
      </w:pPr>
      <w:bookmarkStart w:id="40" w:name="_Toc26189"/>
      <w:r>
        <w:rPr>
          <w:rFonts w:hint="eastAsia" w:ascii="宋体" w:hAnsi="宋体" w:cs="宋体"/>
          <w:sz w:val="24"/>
          <w:szCs w:val="24"/>
        </w:rPr>
        <w:t>投标方的资格声明</w:t>
      </w:r>
      <w:bookmarkEnd w:id="40"/>
    </w:p>
    <w:p>
      <w:pPr>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u w:val="single"/>
        </w:rPr>
        <w:t xml:space="preserve">   招标人     </w:t>
      </w:r>
      <w:r>
        <w:rPr>
          <w:rFonts w:hint="eastAsia" w:ascii="宋体" w:hAnsi="宋体" w:cs="宋体"/>
          <w:sz w:val="24"/>
        </w:rPr>
        <w:t>：</w:t>
      </w:r>
    </w:p>
    <w:p>
      <w:pPr>
        <w:widowControl/>
        <w:spacing w:line="460" w:lineRule="exact"/>
        <w:ind w:left="120" w:hanging="120"/>
        <w:jc w:val="left"/>
        <w:rPr>
          <w:rFonts w:ascii="宋体" w:hAnsi="宋体" w:cs="宋体"/>
          <w:sz w:val="24"/>
        </w:rPr>
      </w:pPr>
      <w:r>
        <w:rPr>
          <w:rFonts w:hint="eastAsia" w:ascii="宋体" w:hAnsi="宋体" w:cs="宋体"/>
          <w:sz w:val="24"/>
        </w:rPr>
        <w:t xml:space="preserve">    关于贵方</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日发出的</w:t>
      </w:r>
      <w:r>
        <w:rPr>
          <w:rFonts w:hint="eastAsia" w:ascii="宋体" w:hAnsi="宋体" w:cs="宋体"/>
          <w:sz w:val="24"/>
          <w:u w:val="single"/>
        </w:rPr>
        <w:t xml:space="preserve">                    </w:t>
      </w:r>
      <w:r>
        <w:rPr>
          <w:rFonts w:hint="eastAsia" w:ascii="宋体" w:hAnsi="宋体" w:cs="宋体"/>
          <w:sz w:val="24"/>
        </w:rPr>
        <w:t>项目招标文件，本投标方愿意参加投标，并证明资格文件中和所要求的说明是真实和准确无误的。</w:t>
      </w:r>
    </w:p>
    <w:p>
      <w:pPr>
        <w:spacing w:line="460" w:lineRule="exact"/>
        <w:ind w:left="120" w:hanging="120"/>
        <w:rPr>
          <w:rFonts w:ascii="宋体" w:hAnsi="宋体" w:cs="宋体"/>
          <w:sz w:val="24"/>
        </w:rPr>
      </w:pPr>
      <w:r>
        <w:rPr>
          <w:rFonts w:hint="eastAsia" w:ascii="宋体" w:hAnsi="宋体" w:cs="宋体"/>
          <w:sz w:val="24"/>
        </w:rPr>
        <w:t xml:space="preserve">    本投标方对可能要求的进一步的资格资料表示理解和同意，并同意按贵方的要求提供任何有关资料。</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 xml:space="preserve">    投标单位名称： </w:t>
      </w:r>
      <w:r>
        <w:rPr>
          <w:rFonts w:hint="eastAsia" w:ascii="宋体" w:hAnsi="宋体" w:cs="宋体"/>
          <w:sz w:val="24"/>
          <w:u w:val="single"/>
        </w:rPr>
        <w:t xml:space="preserve">                           </w:t>
      </w:r>
      <w:r>
        <w:rPr>
          <w:rFonts w:hint="eastAsia" w:ascii="宋体" w:hAnsi="宋体" w:cs="宋体"/>
          <w:sz w:val="24"/>
        </w:rPr>
        <w:t>（法人公章）</w:t>
      </w:r>
    </w:p>
    <w:p>
      <w:pPr>
        <w:spacing w:line="460" w:lineRule="exact"/>
        <w:ind w:left="120" w:hanging="120"/>
        <w:rPr>
          <w:rFonts w:ascii="宋体" w:hAnsi="宋体" w:cs="宋体"/>
          <w:sz w:val="24"/>
        </w:rPr>
      </w:pPr>
      <w:r>
        <w:rPr>
          <w:rFonts w:hint="eastAsia" w:ascii="宋体" w:hAnsi="宋体" w:cs="宋体"/>
          <w:sz w:val="24"/>
        </w:rPr>
        <w:t xml:space="preserve">    法定代表人或授权代表人（签字或盖章）：</w:t>
      </w:r>
      <w:r>
        <w:rPr>
          <w:rFonts w:hint="eastAsia" w:ascii="宋体" w:hAnsi="宋体" w:cs="宋体"/>
          <w:sz w:val="24"/>
          <w:u w:val="single"/>
        </w:rPr>
        <w:t xml:space="preserve">                </w:t>
      </w:r>
    </w:p>
    <w:p>
      <w:pPr>
        <w:spacing w:line="460" w:lineRule="exact"/>
        <w:ind w:firstLine="480" w:firstLineChars="2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w:t>
      </w:r>
    </w:p>
    <w:p>
      <w:pPr>
        <w:spacing w:line="460" w:lineRule="exact"/>
        <w:ind w:left="120" w:hanging="120"/>
        <w:rPr>
          <w:rFonts w:ascii="宋体" w:hAnsi="宋体" w:cs="宋体"/>
          <w:sz w:val="24"/>
        </w:rPr>
      </w:pPr>
      <w:r>
        <w:rPr>
          <w:rFonts w:hint="eastAsia" w:ascii="宋体" w:hAnsi="宋体" w:cs="宋体"/>
          <w:sz w:val="24"/>
        </w:rPr>
        <w:t xml:space="preserve">    传真：</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 xml:space="preserve">    电话：</w:t>
      </w:r>
      <w:r>
        <w:rPr>
          <w:rFonts w:hint="eastAsia" w:ascii="宋体" w:hAnsi="宋体" w:cs="宋体"/>
          <w:sz w:val="24"/>
          <w:u w:val="single"/>
        </w:rPr>
        <w:t xml:space="preserve">                                               </w:t>
      </w: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ind w:left="120" w:hanging="120"/>
        <w:jc w:val="center"/>
        <w:outlineLvl w:val="0"/>
        <w:rPr>
          <w:rFonts w:hint="eastAsia" w:ascii="宋体" w:hAnsi="宋体" w:cs="宋体"/>
          <w:b/>
          <w:sz w:val="24"/>
        </w:rPr>
      </w:pPr>
      <w:bookmarkStart w:id="41" w:name="_Toc22003"/>
    </w:p>
    <w:p>
      <w:pPr>
        <w:ind w:left="120" w:hanging="120"/>
        <w:jc w:val="center"/>
        <w:outlineLvl w:val="0"/>
        <w:rPr>
          <w:rFonts w:hint="eastAsia" w:ascii="宋体" w:hAnsi="宋体" w:cs="宋体"/>
          <w:b/>
          <w:sz w:val="24"/>
        </w:rPr>
      </w:pPr>
    </w:p>
    <w:p>
      <w:pPr>
        <w:ind w:left="120" w:hanging="120"/>
        <w:jc w:val="center"/>
        <w:outlineLvl w:val="0"/>
        <w:rPr>
          <w:rFonts w:ascii="宋体" w:hAnsi="宋体" w:cs="宋体"/>
          <w:color w:val="000000"/>
          <w:sz w:val="24"/>
        </w:rPr>
      </w:pPr>
      <w:r>
        <w:rPr>
          <w:rFonts w:hint="eastAsia" w:ascii="宋体" w:hAnsi="宋体" w:cs="宋体"/>
          <w:b/>
          <w:sz w:val="24"/>
        </w:rPr>
        <w:t>2、投标单位基本情况表</w:t>
      </w:r>
      <w:bookmarkEnd w:id="41"/>
    </w:p>
    <w:p>
      <w:pPr>
        <w:spacing w:line="440" w:lineRule="exact"/>
        <w:ind w:left="239" w:leftChars="114" w:firstLine="120" w:firstLineChars="50"/>
        <w:jc w:val="left"/>
        <w:rPr>
          <w:rFonts w:ascii="宋体" w:hAnsi="宋体" w:cs="宋体"/>
          <w:b/>
          <w:bCs/>
          <w:color w:val="0000FF"/>
          <w:sz w:val="24"/>
        </w:rPr>
      </w:pPr>
      <w:r>
        <w:rPr>
          <w:rFonts w:hint="eastAsia" w:ascii="宋体" w:hAnsi="宋体" w:cs="宋体"/>
          <w:b/>
          <w:bCs/>
          <w:color w:val="0000FF"/>
          <w:sz w:val="24"/>
        </w:rPr>
        <w:t>2.1、具有较强的项目管理、技术服务和组织实施能力、具有履行合同所必需的设备和专业技术能力；有良好的执业质量记录，具有良好的职业道德记录和社会声誉；在</w:t>
      </w:r>
      <w:r>
        <w:rPr>
          <w:rFonts w:hint="eastAsia" w:ascii="宋体" w:hAnsi="宋体" w:cs="宋体"/>
          <w:b/>
          <w:bCs/>
          <w:color w:val="0000FF"/>
          <w:sz w:val="24"/>
          <w:lang w:val="en-US" w:eastAsia="zh-CN"/>
        </w:rPr>
        <w:t>工程鉴定</w:t>
      </w:r>
      <w:r>
        <w:rPr>
          <w:rFonts w:hint="eastAsia" w:ascii="宋体" w:hAnsi="宋体" w:cs="宋体"/>
          <w:b/>
          <w:bCs/>
          <w:color w:val="0000FF"/>
          <w:sz w:val="24"/>
        </w:rPr>
        <w:t>工作中没有出现重大质量问题和不良记录，具备承担相应风险的能力（提供证明文件）。</w:t>
      </w:r>
    </w:p>
    <w:p>
      <w:pPr>
        <w:spacing w:line="480" w:lineRule="exact"/>
        <w:ind w:firstLine="480" w:firstLineChars="200"/>
        <w:rPr>
          <w:rFonts w:ascii="宋体" w:hAnsi="宋体" w:cs="宋体"/>
          <w:color w:val="000000"/>
          <w:sz w:val="24"/>
        </w:rPr>
      </w:pPr>
    </w:p>
    <w:p>
      <w:pPr>
        <w:autoSpaceDE w:val="0"/>
        <w:autoSpaceDN w:val="0"/>
        <w:adjustRightInd w:val="0"/>
        <w:ind w:left="120" w:hanging="120"/>
        <w:jc w:val="center"/>
        <w:rPr>
          <w:rFonts w:ascii="宋体" w:hAnsi="宋体" w:cs="宋体"/>
          <w:sz w:val="24"/>
        </w:rPr>
      </w:pPr>
      <w:r>
        <w:rPr>
          <w:rFonts w:hint="eastAsia" w:ascii="宋体" w:hAnsi="宋体" w:cs="宋体"/>
          <w:b/>
          <w:bCs/>
          <w:color w:val="000000"/>
          <w:kern w:val="0"/>
          <w:sz w:val="24"/>
        </w:rPr>
        <w:t>2.2</w:t>
      </w:r>
      <w:r>
        <w:rPr>
          <w:rFonts w:hint="eastAsia" w:ascii="宋体" w:hAnsi="宋体" w:cs="宋体"/>
          <w:b/>
          <w:sz w:val="24"/>
        </w:rPr>
        <w:t>投标单位总体情况表（一）</w:t>
      </w:r>
    </w:p>
    <w:tbl>
      <w:tblPr>
        <w:tblStyle w:val="70"/>
        <w:tblW w:w="10141" w:type="dxa"/>
        <w:tblInd w:w="-252" w:type="dxa"/>
        <w:tblLayout w:type="fixed"/>
        <w:tblCellMar>
          <w:top w:w="0" w:type="dxa"/>
          <w:left w:w="108" w:type="dxa"/>
          <w:bottom w:w="0" w:type="dxa"/>
          <w:right w:w="108" w:type="dxa"/>
        </w:tblCellMar>
      </w:tblPr>
      <w:tblGrid>
        <w:gridCol w:w="1683"/>
        <w:gridCol w:w="1246"/>
        <w:gridCol w:w="1744"/>
        <w:gridCol w:w="2943"/>
        <w:gridCol w:w="2525"/>
      </w:tblGrid>
      <w:tr>
        <w:tblPrEx>
          <w:tblCellMar>
            <w:top w:w="0" w:type="dxa"/>
            <w:left w:w="108" w:type="dxa"/>
            <w:bottom w:w="0" w:type="dxa"/>
            <w:right w:w="108" w:type="dxa"/>
          </w:tblCellMar>
        </w:tblPrEx>
        <w:trPr>
          <w:trHeight w:val="680" w:hRule="atLeast"/>
        </w:trPr>
        <w:tc>
          <w:tcPr>
            <w:tcW w:w="10141" w:type="dxa"/>
            <w:gridSpan w:val="5"/>
            <w:tcBorders>
              <w:top w:val="nil"/>
              <w:left w:val="nil"/>
              <w:bottom w:val="single" w:color="auto" w:sz="4" w:space="0"/>
              <w:right w:val="nil"/>
            </w:tcBorders>
            <w:vAlign w:val="bottom"/>
          </w:tcPr>
          <w:p>
            <w:pPr>
              <w:widowControl/>
              <w:ind w:left="120" w:hanging="120"/>
              <w:rPr>
                <w:rFonts w:ascii="宋体" w:hAnsi="宋体" w:cs="宋体"/>
                <w:bCs/>
                <w:sz w:val="24"/>
              </w:rPr>
            </w:pPr>
            <w:r>
              <w:rPr>
                <w:rFonts w:hint="eastAsia" w:ascii="宋体" w:hAnsi="宋体" w:cs="宋体"/>
                <w:bCs/>
                <w:sz w:val="24"/>
              </w:rPr>
              <w:t>投标单位名称：</w:t>
            </w:r>
          </w:p>
        </w:tc>
      </w:tr>
      <w:tr>
        <w:tblPrEx>
          <w:tblCellMar>
            <w:top w:w="0" w:type="dxa"/>
            <w:left w:w="108" w:type="dxa"/>
            <w:bottom w:w="0" w:type="dxa"/>
            <w:right w:w="108" w:type="dxa"/>
          </w:tblCellMar>
        </w:tblPrEx>
        <w:trPr>
          <w:trHeight w:val="837" w:hRule="atLeast"/>
        </w:trPr>
        <w:tc>
          <w:tcPr>
            <w:tcW w:w="1683"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资质等级</w:t>
            </w:r>
          </w:p>
        </w:tc>
        <w:tc>
          <w:tcPr>
            <w:tcW w:w="1246"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注册资金（万元）</w:t>
            </w:r>
          </w:p>
        </w:tc>
        <w:tc>
          <w:tcPr>
            <w:tcW w:w="1744" w:type="dxa"/>
            <w:vMerge w:val="restart"/>
            <w:tcBorders>
              <w:top w:val="nil"/>
              <w:left w:val="single" w:color="auto" w:sz="4" w:space="0"/>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近三年平均营业收入情况（万元）</w:t>
            </w:r>
          </w:p>
        </w:tc>
        <w:tc>
          <w:tcPr>
            <w:tcW w:w="5468" w:type="dxa"/>
            <w:gridSpan w:val="2"/>
            <w:tcBorders>
              <w:top w:val="single" w:color="auto" w:sz="4" w:space="0"/>
              <w:left w:val="nil"/>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参加项目人员共计    人</w:t>
            </w:r>
          </w:p>
        </w:tc>
      </w:tr>
      <w:tr>
        <w:tblPrEx>
          <w:tblCellMar>
            <w:top w:w="0" w:type="dxa"/>
            <w:left w:w="108" w:type="dxa"/>
            <w:bottom w:w="0" w:type="dxa"/>
            <w:right w:w="108" w:type="dxa"/>
          </w:tblCellMar>
        </w:tblPrEx>
        <w:trPr>
          <w:trHeight w:val="960" w:hRule="atLeast"/>
        </w:trPr>
        <w:tc>
          <w:tcPr>
            <w:tcW w:w="1683"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1246"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1744" w:type="dxa"/>
            <w:vMerge w:val="continue"/>
            <w:tcBorders>
              <w:top w:val="nil"/>
              <w:left w:val="single" w:color="auto" w:sz="4" w:space="0"/>
              <w:bottom w:val="single" w:color="auto" w:sz="4" w:space="0"/>
              <w:right w:val="single" w:color="auto" w:sz="4" w:space="0"/>
            </w:tcBorders>
            <w:vAlign w:val="center"/>
          </w:tcPr>
          <w:p>
            <w:pPr>
              <w:widowControl/>
              <w:snapToGrid w:val="0"/>
              <w:ind w:left="120" w:hanging="120"/>
              <w:rPr>
                <w:rFonts w:ascii="宋体" w:hAnsi="宋体" w:cs="宋体"/>
                <w:bCs/>
                <w:sz w:val="24"/>
              </w:rPr>
            </w:pPr>
          </w:p>
        </w:tc>
        <w:tc>
          <w:tcPr>
            <w:tcW w:w="2943" w:type="dxa"/>
            <w:tcBorders>
              <w:top w:val="nil"/>
              <w:left w:val="nil"/>
              <w:bottom w:val="single" w:color="auto" w:sz="4" w:space="0"/>
              <w:right w:val="single" w:color="auto"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中、</w:t>
            </w:r>
            <w:r>
              <w:rPr>
                <w:rFonts w:hint="eastAsia" w:ascii="宋体" w:hAnsi="宋体" w:cs="宋体"/>
                <w:sz w:val="24"/>
              </w:rPr>
              <w:t>高</w:t>
            </w:r>
            <w:r>
              <w:rPr>
                <w:rFonts w:hint="eastAsia" w:ascii="宋体" w:hAnsi="宋体" w:cs="宋体"/>
                <w:bCs/>
                <w:sz w:val="24"/>
              </w:rPr>
              <w:t>级职称总人数</w:t>
            </w:r>
          </w:p>
        </w:tc>
        <w:tc>
          <w:tcPr>
            <w:tcW w:w="2525" w:type="dxa"/>
            <w:tcBorders>
              <w:top w:val="single" w:color="auto" w:sz="4" w:space="0"/>
              <w:left w:val="nil"/>
              <w:bottom w:val="single" w:color="auto" w:sz="4" w:space="0"/>
              <w:right w:val="single" w:color="000000" w:sz="4" w:space="0"/>
            </w:tcBorders>
            <w:vAlign w:val="center"/>
          </w:tcPr>
          <w:p>
            <w:pPr>
              <w:widowControl/>
              <w:snapToGrid w:val="0"/>
              <w:ind w:left="120" w:hanging="120"/>
              <w:jc w:val="center"/>
              <w:rPr>
                <w:rFonts w:ascii="宋体" w:hAnsi="宋体" w:cs="宋体"/>
                <w:bCs/>
                <w:sz w:val="24"/>
              </w:rPr>
            </w:pPr>
            <w:r>
              <w:rPr>
                <w:rFonts w:hint="eastAsia" w:ascii="宋体" w:hAnsi="宋体" w:cs="宋体"/>
                <w:bCs/>
                <w:sz w:val="24"/>
              </w:rPr>
              <w:t>其他人员情况</w:t>
            </w:r>
          </w:p>
        </w:tc>
      </w:tr>
      <w:tr>
        <w:tblPrEx>
          <w:tblCellMar>
            <w:top w:w="0" w:type="dxa"/>
            <w:left w:w="108" w:type="dxa"/>
            <w:bottom w:w="0" w:type="dxa"/>
            <w:right w:w="108" w:type="dxa"/>
          </w:tblCellMar>
        </w:tblPrEx>
        <w:trPr>
          <w:trHeight w:val="973" w:hRule="atLeast"/>
        </w:trPr>
        <w:tc>
          <w:tcPr>
            <w:tcW w:w="1683"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1246"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1744"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c>
          <w:tcPr>
            <w:tcW w:w="2943"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p>
            <w:pPr>
              <w:widowControl/>
              <w:ind w:left="120" w:hanging="120"/>
              <w:jc w:val="center"/>
              <w:rPr>
                <w:rFonts w:ascii="宋体" w:hAnsi="宋体" w:cs="宋体"/>
                <w:bCs/>
                <w:color w:val="FF0000"/>
                <w:sz w:val="24"/>
              </w:rPr>
            </w:pPr>
          </w:p>
        </w:tc>
        <w:tc>
          <w:tcPr>
            <w:tcW w:w="2525" w:type="dxa"/>
            <w:tcBorders>
              <w:top w:val="single" w:color="auto" w:sz="4" w:space="0"/>
              <w:left w:val="nil"/>
              <w:bottom w:val="single" w:color="auto" w:sz="4" w:space="0"/>
              <w:right w:val="single" w:color="000000" w:sz="4" w:space="0"/>
            </w:tcBorders>
            <w:vAlign w:val="center"/>
          </w:tcPr>
          <w:p>
            <w:pPr>
              <w:widowControl/>
              <w:ind w:left="120" w:hanging="120"/>
              <w:jc w:val="center"/>
              <w:rPr>
                <w:rFonts w:ascii="宋体" w:hAnsi="宋体" w:cs="宋体"/>
                <w:bCs/>
                <w:sz w:val="24"/>
              </w:rPr>
            </w:pPr>
            <w:r>
              <w:rPr>
                <w:rFonts w:hint="eastAsia" w:ascii="宋体" w:hAnsi="宋体" w:cs="宋体"/>
                <w:bCs/>
                <w:sz w:val="24"/>
              </w:rPr>
              <w:t>　</w:t>
            </w:r>
          </w:p>
        </w:tc>
      </w:tr>
      <w:tr>
        <w:tblPrEx>
          <w:tblCellMar>
            <w:top w:w="0" w:type="dxa"/>
            <w:left w:w="108" w:type="dxa"/>
            <w:bottom w:w="0" w:type="dxa"/>
            <w:right w:w="108" w:type="dxa"/>
          </w:tblCellMar>
        </w:tblPrEx>
        <w:trPr>
          <w:trHeight w:val="1292" w:hRule="atLeast"/>
        </w:trPr>
        <w:tc>
          <w:tcPr>
            <w:tcW w:w="10141" w:type="dxa"/>
            <w:gridSpan w:val="5"/>
            <w:tcBorders>
              <w:top w:val="single" w:color="auto" w:sz="4" w:space="0"/>
              <w:left w:val="nil"/>
              <w:bottom w:val="nil"/>
              <w:right w:val="nil"/>
            </w:tcBorders>
            <w:vAlign w:val="bottom"/>
          </w:tcPr>
          <w:p>
            <w:pPr>
              <w:widowControl/>
              <w:snapToGrid w:val="0"/>
              <w:ind w:left="120" w:hanging="120"/>
              <w:rPr>
                <w:rFonts w:ascii="宋体" w:hAnsi="宋体" w:cs="宋体"/>
                <w:bCs/>
                <w:sz w:val="24"/>
              </w:rPr>
            </w:pPr>
            <w:r>
              <w:rPr>
                <w:rFonts w:hint="eastAsia" w:ascii="宋体" w:hAnsi="宋体" w:cs="宋体"/>
                <w:bCs/>
                <w:sz w:val="24"/>
              </w:rPr>
              <w:t xml:space="preserve"> </w:t>
            </w:r>
          </w:p>
          <w:p>
            <w:pPr>
              <w:widowControl/>
              <w:snapToGrid w:val="0"/>
              <w:ind w:left="120" w:hanging="120"/>
              <w:rPr>
                <w:rFonts w:ascii="宋体" w:hAnsi="宋体" w:cs="宋体"/>
                <w:bCs/>
                <w:sz w:val="24"/>
              </w:rPr>
            </w:pPr>
            <w:r>
              <w:rPr>
                <w:rFonts w:hint="eastAsia" w:ascii="宋体" w:hAnsi="宋体" w:cs="宋体"/>
                <w:bCs/>
                <w:sz w:val="24"/>
              </w:rPr>
              <w:t>附：</w:t>
            </w:r>
          </w:p>
          <w:p>
            <w:pPr>
              <w:widowControl/>
              <w:snapToGrid w:val="0"/>
              <w:ind w:left="840" w:hanging="840" w:hangingChars="350"/>
              <w:rPr>
                <w:rFonts w:ascii="宋体" w:hAnsi="宋体" w:cs="宋体"/>
                <w:bCs/>
                <w:sz w:val="24"/>
              </w:rPr>
            </w:pPr>
          </w:p>
          <w:p>
            <w:pPr>
              <w:widowControl/>
              <w:numPr>
                <w:ilvl w:val="0"/>
                <w:numId w:val="14"/>
              </w:numPr>
              <w:snapToGrid w:val="0"/>
              <w:ind w:left="120" w:hanging="120"/>
              <w:rPr>
                <w:rFonts w:ascii="宋体" w:hAnsi="宋体" w:cs="宋体"/>
                <w:bCs/>
                <w:color w:val="0000FF"/>
                <w:sz w:val="24"/>
              </w:rPr>
            </w:pPr>
            <w:r>
              <w:rPr>
                <w:rFonts w:hint="eastAsia" w:ascii="宋体" w:hAnsi="宋体" w:cs="宋体"/>
                <w:bCs/>
                <w:color w:val="0000FF"/>
                <w:sz w:val="24"/>
              </w:rPr>
              <w:t>上述人员职称证书</w:t>
            </w:r>
            <w:r>
              <w:rPr>
                <w:rFonts w:hint="eastAsia" w:ascii="宋体" w:hAnsi="宋体" w:cs="宋体"/>
                <w:color w:val="0000FF"/>
                <w:sz w:val="24"/>
              </w:rPr>
              <w:t>复印件加盖公章</w:t>
            </w:r>
            <w:r>
              <w:rPr>
                <w:rFonts w:hint="eastAsia" w:ascii="宋体" w:hAnsi="宋体" w:cs="宋体"/>
                <w:bCs/>
                <w:color w:val="0000FF"/>
                <w:sz w:val="24"/>
              </w:rPr>
              <w:t>。</w:t>
            </w:r>
          </w:p>
          <w:p>
            <w:pPr>
              <w:widowControl/>
              <w:numPr>
                <w:ilvl w:val="0"/>
                <w:numId w:val="14"/>
              </w:numPr>
              <w:snapToGrid w:val="0"/>
              <w:ind w:left="120" w:hanging="120"/>
              <w:rPr>
                <w:rFonts w:ascii="宋体" w:hAnsi="宋体" w:cs="宋体"/>
                <w:bCs/>
                <w:color w:val="0000FF"/>
                <w:sz w:val="24"/>
              </w:rPr>
            </w:pPr>
            <w:r>
              <w:rPr>
                <w:rFonts w:hint="eastAsia" w:ascii="宋体" w:hAnsi="宋体" w:cs="宋体"/>
                <w:bCs/>
                <w:color w:val="0000FF"/>
                <w:sz w:val="24"/>
              </w:rPr>
              <w:t>附投标人营业执照、资质证书等复印件。</w:t>
            </w:r>
          </w:p>
          <w:p>
            <w:pPr>
              <w:widowControl/>
              <w:snapToGrid w:val="0"/>
              <w:ind w:left="120" w:hanging="120"/>
              <w:rPr>
                <w:rFonts w:ascii="宋体" w:hAnsi="宋体" w:cs="宋体"/>
                <w:bCs/>
                <w:sz w:val="24"/>
              </w:rPr>
            </w:pPr>
          </w:p>
        </w:tc>
      </w:tr>
    </w:tbl>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spacing w:line="640" w:lineRule="exact"/>
        <w:ind w:left="120" w:hanging="120"/>
        <w:rPr>
          <w:rFonts w:ascii="宋体" w:hAnsi="宋体" w:cs="宋体"/>
          <w:sz w:val="24"/>
        </w:rPr>
      </w:pPr>
      <w:r>
        <w:rPr>
          <w:rFonts w:hint="eastAsia" w:ascii="宋体" w:hAnsi="宋体" w:cs="宋体"/>
          <w:sz w:val="24"/>
        </w:rPr>
        <w:t xml:space="preserve">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xml:space="preserve">  日 期:</w:t>
      </w:r>
      <w:r>
        <w:rPr>
          <w:rFonts w:hint="eastAsia" w:ascii="宋体" w:hAnsi="宋体" w:cs="宋体"/>
          <w:sz w:val="24"/>
          <w:u w:val="single"/>
        </w:rPr>
        <w:t xml:space="preserve">                      </w:t>
      </w:r>
    </w:p>
    <w:p>
      <w:pPr>
        <w:pStyle w:val="36"/>
        <w:spacing w:line="460" w:lineRule="exact"/>
        <w:ind w:firstLine="0" w:firstLineChars="0"/>
        <w:jc w:val="center"/>
        <w:rPr>
          <w:rFonts w:ascii="宋体" w:hAnsi="宋体" w:cs="宋体"/>
          <w:b/>
          <w:sz w:val="24"/>
        </w:rPr>
      </w:pPr>
      <w:r>
        <w:rPr>
          <w:rFonts w:hint="eastAsia" w:ascii="宋体" w:hAnsi="宋体" w:cs="宋体"/>
          <w:b/>
          <w:sz w:val="24"/>
        </w:rPr>
        <w:br w:type="page"/>
      </w:r>
    </w:p>
    <w:p>
      <w:pPr>
        <w:pStyle w:val="36"/>
        <w:spacing w:line="460" w:lineRule="exact"/>
        <w:ind w:firstLine="0" w:firstLineChars="0"/>
        <w:jc w:val="center"/>
        <w:outlineLvl w:val="0"/>
        <w:rPr>
          <w:rFonts w:ascii="宋体" w:hAnsi="宋体" w:cs="宋体"/>
          <w:b/>
          <w:sz w:val="24"/>
        </w:rPr>
      </w:pPr>
      <w:bookmarkStart w:id="42" w:name="_Toc11796"/>
      <w:r>
        <w:rPr>
          <w:rFonts w:hint="eastAsia" w:ascii="宋体" w:hAnsi="宋体" w:cs="宋体"/>
          <w:b/>
          <w:sz w:val="24"/>
        </w:rPr>
        <w:t>3、出具法人营业执照函</w:t>
      </w:r>
      <w:bookmarkEnd w:id="42"/>
    </w:p>
    <w:p>
      <w:pPr>
        <w:pStyle w:val="36"/>
        <w:spacing w:line="460" w:lineRule="exact"/>
        <w:ind w:firstLine="0" w:firstLineChars="0"/>
        <w:rPr>
          <w:rFonts w:ascii="宋体" w:hAnsi="宋体" w:cs="宋体"/>
          <w:b/>
          <w:sz w:val="24"/>
        </w:rPr>
      </w:pPr>
    </w:p>
    <w:p>
      <w:pPr>
        <w:spacing w:line="460" w:lineRule="exact"/>
        <w:ind w:left="120" w:hanging="120"/>
        <w:jc w:val="left"/>
        <w:rPr>
          <w:rFonts w:ascii="宋体" w:hAnsi="宋体" w:cs="宋体"/>
          <w:sz w:val="24"/>
        </w:rPr>
      </w:pPr>
      <w:r>
        <w:rPr>
          <w:rFonts w:hint="eastAsia" w:ascii="宋体" w:hAnsi="宋体" w:cs="宋体"/>
          <w:sz w:val="24"/>
          <w:u w:val="single"/>
        </w:rPr>
        <w:t xml:space="preserve">    招标人    </w:t>
      </w:r>
      <w:r>
        <w:rPr>
          <w:rFonts w:hint="eastAsia" w:ascii="宋体" w:hAnsi="宋体" w:cs="宋体"/>
          <w:sz w:val="24"/>
        </w:rPr>
        <w:t>：</w:t>
      </w:r>
    </w:p>
    <w:p>
      <w:pPr>
        <w:spacing w:line="460" w:lineRule="exact"/>
        <w:ind w:left="120" w:hanging="120"/>
        <w:jc w:val="left"/>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 xml:space="preserve">    现附上由</w:t>
      </w:r>
      <w:r>
        <w:rPr>
          <w:rFonts w:hint="eastAsia" w:ascii="宋体" w:hAnsi="宋体" w:cs="宋体"/>
          <w:sz w:val="24"/>
          <w:u w:val="single"/>
        </w:rPr>
        <w:t xml:space="preserve">                          </w:t>
      </w:r>
      <w:r>
        <w:rPr>
          <w:rFonts w:hint="eastAsia" w:ascii="宋体" w:hAnsi="宋体" w:cs="宋体"/>
          <w:sz w:val="24"/>
        </w:rPr>
        <w:t>（签发机关名称）签发的我方法人营业执照复印件，该执照已经年检，真实有效。</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640" w:lineRule="exact"/>
        <w:ind w:left="120" w:hanging="120"/>
        <w:rPr>
          <w:rFonts w:ascii="宋体" w:hAnsi="宋体" w:cs="宋体"/>
          <w:sz w:val="24"/>
        </w:rPr>
      </w:pPr>
      <w:r>
        <w:rPr>
          <w:rFonts w:hint="eastAsia" w:ascii="宋体" w:hAnsi="宋体" w:cs="宋体"/>
          <w:sz w:val="24"/>
        </w:rPr>
        <w:t xml:space="preserve">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spacing w:line="460" w:lineRule="exact"/>
        <w:ind w:left="120" w:hanging="120"/>
        <w:rPr>
          <w:rFonts w:ascii="宋体" w:hAnsi="宋体" w:cs="宋体"/>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spacing w:line="460" w:lineRule="exact"/>
        <w:ind w:left="120" w:hanging="120"/>
        <w:jc w:val="center"/>
        <w:rPr>
          <w:rFonts w:ascii="宋体" w:hAnsi="宋体" w:cs="宋体"/>
          <w:b/>
          <w:sz w:val="24"/>
        </w:rPr>
      </w:pPr>
    </w:p>
    <w:p>
      <w:pPr>
        <w:pStyle w:val="4"/>
        <w:numPr>
          <w:ilvl w:val="0"/>
          <w:numId w:val="15"/>
        </w:numPr>
        <w:spacing w:line="460" w:lineRule="exact"/>
        <w:ind w:left="120" w:hanging="120"/>
        <w:outlineLvl w:val="0"/>
        <w:rPr>
          <w:rFonts w:ascii="宋体" w:hAnsi="宋体" w:cs="宋体"/>
          <w:sz w:val="24"/>
          <w:szCs w:val="24"/>
        </w:rPr>
      </w:pPr>
      <w:bookmarkStart w:id="43" w:name="_Toc11493"/>
      <w:r>
        <w:rPr>
          <w:rFonts w:hint="eastAsia" w:ascii="宋体" w:hAnsi="宋体" w:cs="宋体"/>
          <w:sz w:val="24"/>
          <w:szCs w:val="24"/>
        </w:rPr>
        <w:t>法定代表人证明书</w:t>
      </w:r>
      <w:bookmarkEnd w:id="43"/>
    </w:p>
    <w:p>
      <w:pPr>
        <w:ind w:left="120" w:hanging="120"/>
        <w:rPr>
          <w:rFonts w:ascii="宋体" w:hAnsi="宋体" w:cs="宋体"/>
          <w:sz w:val="24"/>
        </w:rPr>
      </w:pPr>
    </w:p>
    <w:p>
      <w:pPr>
        <w:spacing w:line="460" w:lineRule="exact"/>
        <w:ind w:left="120" w:hanging="120"/>
        <w:rPr>
          <w:rFonts w:ascii="宋体" w:hAnsi="宋体" w:cs="宋体"/>
          <w:sz w:val="24"/>
          <w:u w:val="single"/>
        </w:rPr>
      </w:pPr>
      <w:r>
        <w:rPr>
          <w:rFonts w:hint="eastAsia" w:ascii="宋体" w:hAnsi="宋体" w:cs="宋体"/>
          <w:sz w:val="24"/>
        </w:rPr>
        <w:t>单位名称：</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w:t>
      </w:r>
    </w:p>
    <w:p>
      <w:pPr>
        <w:spacing w:line="460" w:lineRule="exact"/>
        <w:ind w:left="120" w:hanging="120"/>
        <w:rPr>
          <w:rFonts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 xml:space="preserve">   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pPr>
        <w:spacing w:line="460" w:lineRule="exact"/>
        <w:ind w:left="120" w:hanging="120"/>
        <w:rPr>
          <w:rFonts w:ascii="宋体" w:hAnsi="宋体" w:cs="宋体"/>
          <w:sz w:val="24"/>
        </w:rPr>
      </w:pPr>
      <w:r>
        <w:rPr>
          <w:rFonts w:hint="eastAsia" w:ascii="宋体" w:hAnsi="宋体" w:cs="宋体"/>
          <w:sz w:val="24"/>
        </w:rPr>
        <w:t xml:space="preserve">系  </w:t>
      </w:r>
      <w:r>
        <w:rPr>
          <w:rFonts w:hint="eastAsia" w:ascii="宋体" w:hAnsi="宋体" w:cs="宋体"/>
          <w:sz w:val="24"/>
          <w:u w:val="single"/>
        </w:rPr>
        <w:t xml:space="preserve">                      </w:t>
      </w:r>
      <w:r>
        <w:rPr>
          <w:rFonts w:hint="eastAsia" w:ascii="宋体" w:hAnsi="宋体" w:cs="宋体"/>
          <w:sz w:val="24"/>
        </w:rPr>
        <w:t>的法定代表人。</w:t>
      </w: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p>
    <w:p>
      <w:pPr>
        <w:spacing w:line="460" w:lineRule="exact"/>
        <w:ind w:left="120" w:hanging="120"/>
        <w:rPr>
          <w:rFonts w:ascii="宋体" w:hAnsi="宋体" w:cs="宋体"/>
          <w:sz w:val="24"/>
        </w:rPr>
      </w:pPr>
      <w:r>
        <w:rPr>
          <w:rFonts w:hint="eastAsia" w:ascii="宋体" w:hAnsi="宋体" w:cs="宋体"/>
          <w:sz w:val="24"/>
        </w:rPr>
        <w:t>投标单位名称：</w:t>
      </w:r>
      <w:r>
        <w:rPr>
          <w:rFonts w:hint="eastAsia" w:ascii="宋体" w:hAnsi="宋体" w:cs="宋体"/>
          <w:sz w:val="24"/>
          <w:u w:val="single"/>
        </w:rPr>
        <w:t xml:space="preserve">                       </w:t>
      </w:r>
      <w:r>
        <w:rPr>
          <w:rFonts w:hint="eastAsia" w:ascii="宋体" w:hAnsi="宋体" w:cs="宋体"/>
          <w:sz w:val="24"/>
        </w:rPr>
        <w:t>（公章）</w:t>
      </w: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jc w:val="right"/>
        <w:rPr>
          <w:rFonts w:ascii="宋体" w:hAnsi="宋体" w:cs="宋体"/>
          <w:sz w:val="24"/>
        </w:rPr>
      </w:pPr>
    </w:p>
    <w:p>
      <w:pPr>
        <w:spacing w:line="460" w:lineRule="exact"/>
        <w:ind w:firstLine="960" w:firstLineChars="400"/>
        <w:rPr>
          <w:rFonts w:ascii="宋体" w:hAnsi="宋体" w:cs="宋体"/>
          <w:sz w:val="24"/>
        </w:rPr>
      </w:pPr>
      <w:r>
        <w:rPr>
          <w:rFonts w:hint="eastAsia" w:ascii="宋体" w:hAnsi="宋体" w:cs="宋体"/>
          <w:sz w:val="24"/>
        </w:rPr>
        <w:t xml:space="preserve">   日期：   年  月  日</w:t>
      </w:r>
    </w:p>
    <w:p>
      <w:pPr>
        <w:spacing w:line="460" w:lineRule="exact"/>
        <w:ind w:left="120" w:hanging="120"/>
        <w:jc w:val="center"/>
        <w:rPr>
          <w:rFonts w:ascii="宋体" w:hAnsi="宋体" w:cs="宋体"/>
          <w:b/>
          <w:sz w:val="24"/>
          <w:lang w:val="zh-CN"/>
        </w:rPr>
      </w:pPr>
      <w:r>
        <w:rPr>
          <w:rFonts w:hint="eastAsia" w:ascii="宋体" w:hAnsi="宋体" w:cs="宋体"/>
          <w:sz w:val="24"/>
        </w:rPr>
        <w:br w:type="page"/>
      </w:r>
      <w:r>
        <w:rPr>
          <w:rFonts w:hint="eastAsia" w:ascii="宋体" w:hAnsi="宋体" w:cs="宋体"/>
          <w:b/>
          <w:sz w:val="24"/>
        </w:rPr>
        <w:t>5.法定代表人授权委托书</w:t>
      </w:r>
    </w:p>
    <w:p>
      <w:pPr>
        <w:autoSpaceDE w:val="0"/>
        <w:autoSpaceDN w:val="0"/>
        <w:adjustRightInd w:val="0"/>
        <w:ind w:left="120" w:hanging="120"/>
        <w:jc w:val="center"/>
        <w:rPr>
          <w:rFonts w:ascii="宋体" w:hAnsi="宋体" w:cs="宋体"/>
          <w:b/>
          <w:bCs/>
          <w:sz w:val="24"/>
          <w:lang w:val="zh-CN"/>
        </w:rPr>
      </w:pPr>
      <w:r>
        <w:rPr>
          <w:rFonts w:hint="eastAsia" w:ascii="宋体" w:hAnsi="宋体" w:cs="宋体"/>
          <w:b/>
          <w:bCs/>
          <w:color w:val="0000FF"/>
          <w:sz w:val="24"/>
          <w:lang w:val="zh-CN"/>
        </w:rPr>
        <w:t>必须在一张纸上</w:t>
      </w:r>
    </w:p>
    <w:p>
      <w:pPr>
        <w:autoSpaceDE w:val="0"/>
        <w:autoSpaceDN w:val="0"/>
        <w:adjustRightInd w:val="0"/>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本授权委托书声明：我</w:t>
      </w:r>
      <w:r>
        <w:rPr>
          <w:rFonts w:hint="eastAsia" w:ascii="宋体" w:hAnsi="宋体" w:cs="宋体"/>
          <w:sz w:val="24"/>
          <w:u w:val="single"/>
          <w:lang w:val="zh-CN"/>
        </w:rPr>
        <w:t xml:space="preserve">         </w:t>
      </w:r>
      <w:r>
        <w:rPr>
          <w:rFonts w:hint="eastAsia" w:ascii="宋体" w:hAnsi="宋体" w:cs="宋体"/>
          <w:sz w:val="24"/>
          <w:lang w:val="zh-CN"/>
        </w:rPr>
        <w:t>（姓名）系</w:t>
      </w:r>
      <w:r>
        <w:rPr>
          <w:rFonts w:hint="eastAsia" w:ascii="宋体" w:hAnsi="宋体" w:cs="宋体"/>
          <w:sz w:val="24"/>
          <w:u w:val="single"/>
          <w:lang w:val="zh-CN"/>
        </w:rPr>
        <w:t xml:space="preserve">               </w:t>
      </w:r>
      <w:r>
        <w:rPr>
          <w:rFonts w:hint="eastAsia" w:ascii="宋体" w:hAnsi="宋体" w:cs="宋体"/>
          <w:sz w:val="24"/>
          <w:lang w:val="zh-CN"/>
        </w:rPr>
        <w:t>（投标人名称）的法定代表人，现授权委托</w:t>
      </w:r>
      <w:r>
        <w:rPr>
          <w:rFonts w:hint="eastAsia" w:ascii="宋体" w:hAnsi="宋体" w:cs="宋体"/>
          <w:sz w:val="24"/>
          <w:u w:val="single"/>
          <w:lang w:val="zh-CN"/>
        </w:rPr>
        <w:t xml:space="preserve">           </w:t>
      </w:r>
      <w:r>
        <w:rPr>
          <w:rFonts w:hint="eastAsia" w:ascii="宋体" w:hAnsi="宋体" w:cs="宋体"/>
          <w:sz w:val="24"/>
          <w:lang w:val="zh-CN"/>
        </w:rPr>
        <w:t>（姓名）为我公司（联合体）代理人，以参加</w:t>
      </w:r>
      <w:r>
        <w:rPr>
          <w:rFonts w:hint="eastAsia" w:ascii="宋体" w:hAnsi="宋体" w:cs="宋体"/>
          <w:sz w:val="24"/>
          <w:u w:val="single"/>
          <w:lang w:val="zh-CN"/>
        </w:rPr>
        <w:t xml:space="preserve">          </w:t>
      </w:r>
      <w:r>
        <w:rPr>
          <w:rFonts w:hint="eastAsia" w:ascii="宋体" w:hAnsi="宋体" w:cs="宋体"/>
          <w:sz w:val="24"/>
          <w:lang w:val="zh-CN"/>
        </w:rPr>
        <w:t>（招标人）的</w:t>
      </w:r>
      <w:r>
        <w:rPr>
          <w:rFonts w:hint="eastAsia" w:ascii="宋体" w:hAnsi="宋体" w:cs="宋体"/>
          <w:sz w:val="24"/>
          <w:u w:val="single"/>
          <w:lang w:val="zh-CN"/>
        </w:rPr>
        <w:t xml:space="preserve">                 </w:t>
      </w:r>
      <w:r>
        <w:rPr>
          <w:rFonts w:hint="eastAsia" w:ascii="宋体" w:hAnsi="宋体" w:cs="宋体"/>
          <w:sz w:val="24"/>
          <w:lang w:val="zh-CN"/>
        </w:rPr>
        <w:t>招标投标活动。代理人在参加整个招标投标活动、合同谈判过程中所签署的一切文件和处理与之有关的一切事物，我均予以承认。</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代理人：</w:t>
      </w:r>
      <w:r>
        <w:rPr>
          <w:rFonts w:hint="eastAsia" w:ascii="宋体" w:hAnsi="宋体" w:cs="宋体"/>
          <w:sz w:val="24"/>
          <w:u w:val="single"/>
          <w:lang w:val="zh-CN"/>
        </w:rPr>
        <w:t xml:space="preserve">              </w:t>
      </w:r>
      <w:r>
        <w:rPr>
          <w:rFonts w:hint="eastAsia" w:ascii="宋体" w:hAnsi="宋体" w:cs="宋体"/>
          <w:sz w:val="24"/>
          <w:lang w:val="zh-CN"/>
        </w:rPr>
        <w:t>性别：</w:t>
      </w:r>
      <w:r>
        <w:rPr>
          <w:rFonts w:hint="eastAsia" w:ascii="宋体" w:hAnsi="宋体" w:cs="宋体"/>
          <w:sz w:val="24"/>
          <w:u w:val="single"/>
          <w:lang w:val="zh-CN"/>
        </w:rPr>
        <w:t xml:space="preserve">             </w:t>
      </w:r>
      <w:r>
        <w:rPr>
          <w:rFonts w:hint="eastAsia" w:ascii="宋体" w:hAnsi="宋体" w:cs="宋体"/>
          <w:sz w:val="24"/>
          <w:lang w:val="zh-CN"/>
        </w:rPr>
        <w:t>年龄：</w:t>
      </w:r>
      <w:r>
        <w:rPr>
          <w:rFonts w:hint="eastAsia" w:ascii="宋体" w:hAnsi="宋体" w:cs="宋体"/>
          <w:sz w:val="24"/>
          <w:u w:val="single"/>
          <w:lang w:val="zh-CN"/>
        </w:rPr>
        <w:t xml:space="preserve">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单  位：</w:t>
      </w:r>
      <w:r>
        <w:rPr>
          <w:rFonts w:hint="eastAsia" w:ascii="宋体" w:hAnsi="宋体" w:cs="宋体"/>
          <w:sz w:val="24"/>
          <w:u w:val="single"/>
          <w:lang w:val="zh-CN"/>
        </w:rPr>
        <w:t xml:space="preserve">              </w:t>
      </w:r>
      <w:r>
        <w:rPr>
          <w:rFonts w:hint="eastAsia" w:ascii="宋体" w:hAnsi="宋体" w:cs="宋体"/>
          <w:sz w:val="24"/>
          <w:lang w:val="zh-CN"/>
        </w:rPr>
        <w:t>部门：</w:t>
      </w:r>
      <w:r>
        <w:rPr>
          <w:rFonts w:hint="eastAsia" w:ascii="宋体" w:hAnsi="宋体" w:cs="宋体"/>
          <w:sz w:val="24"/>
          <w:u w:val="single"/>
          <w:lang w:val="zh-CN"/>
        </w:rPr>
        <w:t xml:space="preserve">             </w:t>
      </w:r>
      <w:r>
        <w:rPr>
          <w:rFonts w:hint="eastAsia" w:ascii="宋体" w:hAnsi="宋体" w:cs="宋体"/>
          <w:sz w:val="24"/>
          <w:lang w:val="zh-CN"/>
        </w:rPr>
        <w:t>职务：</w:t>
      </w:r>
      <w:r>
        <w:rPr>
          <w:rFonts w:hint="eastAsia" w:ascii="宋体" w:hAnsi="宋体" w:cs="宋体"/>
          <w:sz w:val="24"/>
          <w:u w:val="single"/>
          <w:lang w:val="zh-CN"/>
        </w:rPr>
        <w:t xml:space="preserve">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代理人无转委权。特此委托。附双方法定代表人、被授权人身份证复印件</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bCs/>
          <w:sz w:val="24"/>
        </w:rPr>
        <mc:AlternateContent>
          <mc:Choice Requires="wps">
            <w:drawing>
              <wp:anchor distT="0" distB="0" distL="114300" distR="114300" simplePos="0" relativeHeight="251659264" behindDoc="0" locked="0" layoutInCell="1" allowOverlap="1">
                <wp:simplePos x="0" y="0"/>
                <wp:positionH relativeFrom="column">
                  <wp:posOffset>2790825</wp:posOffset>
                </wp:positionH>
                <wp:positionV relativeFrom="paragraph">
                  <wp:posOffset>145415</wp:posOffset>
                </wp:positionV>
                <wp:extent cx="2472690" cy="1263650"/>
                <wp:effectExtent l="4445" t="4445" r="12065" b="14605"/>
                <wp:wrapNone/>
                <wp:docPr id="9" name="文本框 9"/>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法人身份证复印件背面</w:t>
                            </w:r>
                          </w:p>
                        </w:txbxContent>
                      </wps:txbx>
                      <wps:bodyPr upright="1"/>
                    </wps:wsp>
                  </a:graphicData>
                </a:graphic>
              </wp:anchor>
            </w:drawing>
          </mc:Choice>
          <mc:Fallback>
            <w:pict>
              <v:shape id="_x0000_s1026" o:spid="_x0000_s1026" o:spt="202" type="#_x0000_t202" style="position:absolute;left:0pt;margin-left:219.75pt;margin-top:11.45pt;height:99.5pt;width:194.7pt;z-index:251659264;mso-width-relative:page;mso-height-relative:page;" fillcolor="#FFFFFF" filled="t" stroked="t" coordsize="21600,21600" o:gfxdata="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ByrmjZAAAACgEAAA8AAAAAAAAAAQAgAAAAIgAAAGRycy9kb3ducmV2LnhtbFBL&#10;AQIUABQAAAAIAIdO4kAb/Qk39QEAAOkDAAAOAAAAAAAAAAEAIAAAACgBAABkcnMvZTJvRG9jLnht&#10;bFBLBQYAAAAABgAGAFkBAACPBQ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法人身份证复印件背面</w:t>
                      </w:r>
                    </w:p>
                  </w:txbxContent>
                </v:textbox>
              </v:shape>
            </w:pict>
          </mc:Fallback>
        </mc:AlternateContent>
      </w:r>
      <w:r>
        <w:rPr>
          <w:rFonts w:hint="eastAsia" w:ascii="宋体" w:hAnsi="宋体" w:cs="宋体"/>
          <w:bCs/>
          <w:sz w:val="24"/>
        </w:rPr>
        <mc:AlternateContent>
          <mc:Choice Requires="wps">
            <w:drawing>
              <wp:anchor distT="0" distB="0" distL="114300" distR="114300" simplePos="0" relativeHeight="251658240" behindDoc="0" locked="0" layoutInCell="1" allowOverlap="1">
                <wp:simplePos x="0" y="0"/>
                <wp:positionH relativeFrom="column">
                  <wp:posOffset>-47625</wp:posOffset>
                </wp:positionH>
                <wp:positionV relativeFrom="paragraph">
                  <wp:posOffset>156210</wp:posOffset>
                </wp:positionV>
                <wp:extent cx="2472690" cy="1263650"/>
                <wp:effectExtent l="4445" t="4445" r="12065" b="14605"/>
                <wp:wrapNone/>
                <wp:docPr id="15" name="文本框 15"/>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法人身份证复印件正面</w:t>
                            </w:r>
                          </w:p>
                        </w:txbxContent>
                      </wps:txbx>
                      <wps:bodyPr upright="1"/>
                    </wps:wsp>
                  </a:graphicData>
                </a:graphic>
              </wp:anchor>
            </w:drawing>
          </mc:Choice>
          <mc:Fallback>
            <w:pict>
              <v:shape id="_x0000_s1026" o:spid="_x0000_s1026" o:spt="202" type="#_x0000_t202" style="position:absolute;left:0pt;margin-left:-3.75pt;margin-top:12.3pt;height:99.5pt;width:194.7pt;z-index:251658240;mso-width-relative:page;mso-height-relative:page;" fillcolor="#FFFFFF" filled="t" stroked="t" coordsize="21600,21600" o:gfxdata="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qR5xdoAAAAJAQAADwAAAAAAAAABACAAAAAiAAAAZHJzL2Rvd25yZXYueG1s&#10;UEsBAhQAFAAAAAgAh07iQBtImN72AQAA6wMAAA4AAAAAAAAAAQAgAAAAKQEAAGRycy9lMm9Eb2Mu&#10;eG1sUEsFBgAAAAAGAAYAWQEAAJEFA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法人身份证复印件正面</w:t>
                      </w:r>
                    </w:p>
                  </w:txbxContent>
                </v:textbox>
              </v:shape>
            </w:pict>
          </mc:Fallback>
        </mc:AlternateConten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bCs/>
          <w:sz w:val="24"/>
        </w:rPr>
        <mc:AlternateContent>
          <mc:Choice Requires="wps">
            <w:drawing>
              <wp:anchor distT="0" distB="0" distL="114300" distR="114300" simplePos="0" relativeHeight="251661312" behindDoc="0" locked="0" layoutInCell="1" allowOverlap="1">
                <wp:simplePos x="0" y="0"/>
                <wp:positionH relativeFrom="column">
                  <wp:posOffset>2807335</wp:posOffset>
                </wp:positionH>
                <wp:positionV relativeFrom="paragraph">
                  <wp:posOffset>151130</wp:posOffset>
                </wp:positionV>
                <wp:extent cx="2472690" cy="1263650"/>
                <wp:effectExtent l="4445" t="4445" r="12065" b="14605"/>
                <wp:wrapNone/>
                <wp:docPr id="4" name="文本框 4"/>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被委托人身份证复印件背面</w:t>
                            </w:r>
                          </w:p>
                        </w:txbxContent>
                      </wps:txbx>
                      <wps:bodyPr upright="1"/>
                    </wps:wsp>
                  </a:graphicData>
                </a:graphic>
              </wp:anchor>
            </w:drawing>
          </mc:Choice>
          <mc:Fallback>
            <w:pict>
              <v:shape id="_x0000_s1026" o:spid="_x0000_s1026" o:spt="202" type="#_x0000_t202" style="position:absolute;left:0pt;margin-left:221.05pt;margin-top:11.9pt;height:99.5pt;width:194.7pt;z-index:251661312;mso-width-relative:page;mso-height-relative:page;" fillcolor="#FFFFFF" filled="t" stroked="t" coordsize="21600,21600" o:gfxdata="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1d/CdoAAAAKAQAADwAAAAAAAAABACAAAAAiAAAAZHJzL2Rvd25yZXYueG1s&#10;UEsBAhQAFAAAAAgAh07iQDHVBfT2AQAA6QMAAA4AAAAAAAAAAQAgAAAAKQEAAGRycy9lMm9Eb2Mu&#10;eG1sUEsFBgAAAAAGAAYAWQEAAJEFA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被委托人身份证复印件背面</w:t>
                      </w:r>
                    </w:p>
                  </w:txbxContent>
                </v:textbox>
              </v:shape>
            </w:pict>
          </mc:Fallback>
        </mc:AlternateContent>
      </w:r>
      <w:r>
        <w:rPr>
          <w:rFonts w:hint="eastAsia" w:ascii="宋体" w:hAnsi="宋体" w:cs="宋体"/>
          <w:bCs/>
          <w:sz w:val="24"/>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145415</wp:posOffset>
                </wp:positionV>
                <wp:extent cx="2472690" cy="1263650"/>
                <wp:effectExtent l="4445" t="4445" r="12065" b="14605"/>
                <wp:wrapNone/>
                <wp:docPr id="5" name="文本框 5"/>
                <wp:cNvGraphicFramePr/>
                <a:graphic xmlns:a="http://schemas.openxmlformats.org/drawingml/2006/main">
                  <a:graphicData uri="http://schemas.microsoft.com/office/word/2010/wordprocessingShape">
                    <wps:wsp>
                      <wps:cNvSpPr txBox="1"/>
                      <wps:spPr>
                        <a:xfrm>
                          <a:off x="0" y="0"/>
                          <a:ext cx="2472690" cy="126365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140" w:hanging="140"/>
                              <w:jc w:val="center"/>
                              <w:rPr>
                                <w:sz w:val="28"/>
                                <w:szCs w:val="28"/>
                              </w:rPr>
                            </w:pPr>
                            <w:r>
                              <w:rPr>
                                <w:rFonts w:hint="eastAsia"/>
                                <w:sz w:val="28"/>
                                <w:szCs w:val="28"/>
                              </w:rPr>
                              <w:t>被委托人身份证复印件正面</w:t>
                            </w:r>
                          </w:p>
                        </w:txbxContent>
                      </wps:txbx>
                      <wps:bodyPr upright="1"/>
                    </wps:wsp>
                  </a:graphicData>
                </a:graphic>
              </wp:anchor>
            </w:drawing>
          </mc:Choice>
          <mc:Fallback>
            <w:pict>
              <v:shape id="_x0000_s1026" o:spid="_x0000_s1026" o:spt="202" type="#_x0000_t202" style="position:absolute;left:0pt;margin-left:-3.9pt;margin-top:11.45pt;height:99.5pt;width:194.7pt;z-index:251660288;mso-width-relative:page;mso-height-relative:page;" fillcolor="#FFFFFF" filled="t" stroked="t" coordsize="21600,21600" o:gfxdata="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SXFq2QAAAAkBAAAPAAAAAAAAAAEAIAAAACIAAABkcnMvZG93bnJldi54bWxQ&#10;SwECFAAUAAAACACHTuJAjXekH/YBAADpAwAADgAAAAAAAAABACAAAAAoAQAAZHJzL2Uyb0RvYy54&#10;bWxQSwUGAAAAAAYABgBZAQAAkAUAAAAA&#10;">
                <v:fill on="t" focussize="0,0"/>
                <v:stroke color="#000000" joinstyle="miter" dashstyle="1 1" endcap="round"/>
                <v:imagedata o:title=""/>
                <o:lock v:ext="edit" aspectratio="f"/>
                <v:textbox>
                  <w:txbxContent>
                    <w:p>
                      <w:pPr>
                        <w:ind w:left="140" w:hanging="140"/>
                        <w:jc w:val="center"/>
                        <w:rPr>
                          <w:sz w:val="28"/>
                          <w:szCs w:val="28"/>
                        </w:rPr>
                      </w:pPr>
                      <w:r>
                        <w:rPr>
                          <w:rFonts w:hint="eastAsia"/>
                          <w:sz w:val="28"/>
                          <w:szCs w:val="28"/>
                        </w:rPr>
                        <w:t>被委托人身份证复印件正面</w:t>
                      </w:r>
                    </w:p>
                  </w:txbxContent>
                </v:textbox>
              </v:shape>
            </w:pict>
          </mc:Fallback>
        </mc:AlternateConten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 xml:space="preserve">投标人名称：（盖章）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 xml:space="preserve">法定代表人：（签章）                                  </w:t>
      </w: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p>
    <w:p>
      <w:pPr>
        <w:autoSpaceDE w:val="0"/>
        <w:autoSpaceDN w:val="0"/>
        <w:adjustRightInd w:val="0"/>
        <w:spacing w:line="320" w:lineRule="exact"/>
        <w:ind w:left="120" w:hanging="120"/>
        <w:rPr>
          <w:rFonts w:ascii="宋体" w:hAnsi="宋体" w:cs="宋体"/>
          <w:sz w:val="24"/>
          <w:lang w:val="zh-CN"/>
        </w:rPr>
      </w:pPr>
      <w:r>
        <w:rPr>
          <w:rFonts w:hint="eastAsia" w:ascii="宋体" w:hAnsi="宋体" w:cs="宋体"/>
          <w:sz w:val="24"/>
          <w:lang w:val="zh-CN"/>
        </w:rPr>
        <w:t>被委托人：（签字）</w:t>
      </w:r>
    </w:p>
    <w:p>
      <w:pPr>
        <w:autoSpaceDE w:val="0"/>
        <w:autoSpaceDN w:val="0"/>
        <w:adjustRightInd w:val="0"/>
        <w:spacing w:line="320" w:lineRule="exact"/>
        <w:ind w:left="120" w:hanging="120"/>
        <w:rPr>
          <w:rFonts w:ascii="宋体" w:hAnsi="宋体" w:cs="宋体"/>
          <w:b/>
          <w:bCs/>
          <w:sz w:val="24"/>
          <w:lang w:val="zh-CN"/>
        </w:rPr>
      </w:pPr>
    </w:p>
    <w:p>
      <w:pPr>
        <w:autoSpaceDE w:val="0"/>
        <w:autoSpaceDN w:val="0"/>
        <w:adjustRightInd w:val="0"/>
        <w:spacing w:line="320" w:lineRule="exact"/>
        <w:ind w:left="120" w:hanging="120"/>
        <w:jc w:val="center"/>
        <w:outlineLvl w:val="0"/>
        <w:rPr>
          <w:rFonts w:ascii="宋体" w:hAnsi="宋体" w:cs="宋体"/>
          <w:sz w:val="24"/>
          <w:lang w:val="zh-CN"/>
        </w:rPr>
      </w:pPr>
      <w:bookmarkStart w:id="44" w:name="_Toc25992"/>
      <w:r>
        <w:rPr>
          <w:rFonts w:hint="eastAsia" w:ascii="宋体" w:hAnsi="宋体" w:cs="宋体"/>
          <w:sz w:val="24"/>
          <w:lang w:val="zh-CN"/>
        </w:rPr>
        <w:t>日期：</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bookmarkEnd w:id="44"/>
    </w:p>
    <w:p>
      <w:pPr>
        <w:autoSpaceDE w:val="0"/>
        <w:autoSpaceDN w:val="0"/>
        <w:adjustRightInd w:val="0"/>
        <w:spacing w:line="320" w:lineRule="exact"/>
        <w:ind w:left="120" w:hanging="120"/>
        <w:jc w:val="center"/>
        <w:rPr>
          <w:rFonts w:ascii="宋体" w:hAnsi="宋体" w:cs="宋体"/>
          <w:sz w:val="24"/>
          <w:lang w:val="zh-CN"/>
        </w:rPr>
      </w:pPr>
    </w:p>
    <w:p>
      <w:pPr>
        <w:autoSpaceDE w:val="0"/>
        <w:autoSpaceDN w:val="0"/>
        <w:adjustRightInd w:val="0"/>
        <w:ind w:left="120" w:hanging="120"/>
        <w:jc w:val="center"/>
        <w:rPr>
          <w:rFonts w:ascii="宋体" w:hAnsi="宋体" w:cs="宋体"/>
          <w:sz w:val="24"/>
          <w:lang w:val="zh-CN"/>
        </w:rPr>
      </w:pPr>
    </w:p>
    <w:p>
      <w:pPr>
        <w:pStyle w:val="4"/>
        <w:spacing w:line="240" w:lineRule="auto"/>
        <w:ind w:left="120" w:hanging="120"/>
        <w:rPr>
          <w:rFonts w:ascii="宋体" w:hAnsi="宋体" w:cs="宋体"/>
          <w:sz w:val="24"/>
          <w:szCs w:val="24"/>
        </w:rPr>
      </w:pPr>
      <w:r>
        <w:rPr>
          <w:rFonts w:hint="eastAsia" w:ascii="宋体" w:hAnsi="宋体" w:cs="宋体"/>
          <w:color w:val="000000"/>
          <w:sz w:val="24"/>
          <w:szCs w:val="24"/>
        </w:rPr>
        <w:t>6、近三年受托类似项目业绩表及相关证明</w:t>
      </w:r>
    </w:p>
    <w:p>
      <w:pPr>
        <w:autoSpaceDE w:val="0"/>
        <w:autoSpaceDN w:val="0"/>
        <w:adjustRightInd w:val="0"/>
        <w:ind w:left="120" w:hanging="120"/>
        <w:outlineLvl w:val="0"/>
        <w:rPr>
          <w:rFonts w:ascii="宋体" w:hAnsi="宋体" w:cs="宋体"/>
          <w:b/>
          <w:bCs/>
          <w:sz w:val="24"/>
        </w:rPr>
      </w:pPr>
      <w:bookmarkStart w:id="45" w:name="_Toc31818"/>
      <w:r>
        <w:rPr>
          <w:rFonts w:hint="eastAsia" w:ascii="宋体" w:hAnsi="宋体" w:cs="宋体"/>
          <w:b/>
          <w:bCs/>
          <w:sz w:val="24"/>
        </w:rPr>
        <w:t>6.1 近三年受托类似项目情况表</w:t>
      </w:r>
      <w:bookmarkEnd w:id="45"/>
    </w:p>
    <w:tbl>
      <w:tblPr>
        <w:tblStyle w:val="70"/>
        <w:tblW w:w="9513" w:type="dxa"/>
        <w:tblInd w:w="93" w:type="dxa"/>
        <w:tblLayout w:type="fixed"/>
        <w:tblCellMar>
          <w:top w:w="0" w:type="dxa"/>
          <w:left w:w="108" w:type="dxa"/>
          <w:bottom w:w="0" w:type="dxa"/>
          <w:right w:w="108" w:type="dxa"/>
        </w:tblCellMar>
      </w:tblPr>
      <w:tblGrid>
        <w:gridCol w:w="640"/>
        <w:gridCol w:w="2079"/>
        <w:gridCol w:w="3533"/>
        <w:gridCol w:w="1027"/>
        <w:gridCol w:w="674"/>
        <w:gridCol w:w="1307"/>
        <w:gridCol w:w="253"/>
      </w:tblGrid>
      <w:tr>
        <w:tblPrEx>
          <w:tblCellMar>
            <w:top w:w="0" w:type="dxa"/>
            <w:left w:w="108" w:type="dxa"/>
            <w:bottom w:w="0" w:type="dxa"/>
            <w:right w:w="108" w:type="dxa"/>
          </w:tblCellMar>
        </w:tblPrEx>
        <w:trPr>
          <w:trHeight w:val="750" w:hRule="atLeast"/>
        </w:trPr>
        <w:tc>
          <w:tcPr>
            <w:tcW w:w="6252" w:type="dxa"/>
            <w:gridSpan w:val="3"/>
            <w:tcBorders>
              <w:top w:val="nil"/>
              <w:left w:val="nil"/>
              <w:bottom w:val="nil"/>
              <w:right w:val="nil"/>
            </w:tcBorders>
            <w:vAlign w:val="bottom"/>
          </w:tcPr>
          <w:p>
            <w:pPr>
              <w:widowControl/>
              <w:ind w:left="120" w:hanging="120"/>
              <w:rPr>
                <w:rFonts w:ascii="宋体" w:hAnsi="宋体" w:cs="宋体"/>
                <w:sz w:val="24"/>
              </w:rPr>
            </w:pPr>
            <w:r>
              <w:rPr>
                <w:rFonts w:hint="eastAsia" w:ascii="宋体" w:hAnsi="宋体" w:cs="宋体"/>
                <w:sz w:val="24"/>
              </w:rPr>
              <w:t>投标单位名称：</w:t>
            </w:r>
          </w:p>
        </w:tc>
        <w:tc>
          <w:tcPr>
            <w:tcW w:w="1701" w:type="dxa"/>
            <w:gridSpan w:val="2"/>
            <w:tcBorders>
              <w:top w:val="nil"/>
              <w:left w:val="nil"/>
              <w:bottom w:val="nil"/>
              <w:right w:val="nil"/>
            </w:tcBorders>
            <w:vAlign w:val="bottom"/>
          </w:tcPr>
          <w:p>
            <w:pPr>
              <w:widowControl/>
              <w:ind w:left="120" w:hanging="120"/>
              <w:rPr>
                <w:rFonts w:ascii="宋体" w:hAnsi="宋体" w:cs="宋体"/>
                <w:sz w:val="24"/>
              </w:rPr>
            </w:pPr>
          </w:p>
        </w:tc>
        <w:tc>
          <w:tcPr>
            <w:tcW w:w="1560" w:type="dxa"/>
            <w:gridSpan w:val="2"/>
            <w:tcBorders>
              <w:top w:val="nil"/>
              <w:left w:val="nil"/>
              <w:bottom w:val="nil"/>
              <w:right w:val="nil"/>
            </w:tcBorders>
            <w:vAlign w:val="bottom"/>
          </w:tcPr>
          <w:p>
            <w:pPr>
              <w:widowControl/>
              <w:ind w:left="120" w:hanging="120"/>
              <w:jc w:val="center"/>
              <w:rPr>
                <w:rFonts w:ascii="宋体" w:hAnsi="宋体" w:cs="宋体"/>
                <w:sz w:val="24"/>
              </w:rPr>
            </w:pPr>
            <w:r>
              <w:rPr>
                <w:rFonts w:hint="eastAsia" w:ascii="宋体" w:hAnsi="宋体" w:cs="宋体"/>
                <w:sz w:val="24"/>
              </w:rPr>
              <w:t>单位：万元</w:t>
            </w:r>
          </w:p>
        </w:tc>
      </w:tr>
      <w:tr>
        <w:tblPrEx>
          <w:tblCellMar>
            <w:top w:w="0" w:type="dxa"/>
            <w:left w:w="108" w:type="dxa"/>
            <w:bottom w:w="0" w:type="dxa"/>
            <w:right w:w="108" w:type="dxa"/>
          </w:tblCellMar>
        </w:tblPrEx>
        <w:trPr>
          <w:trHeight w:val="1005" w:hRule="atLeast"/>
        </w:trPr>
        <w:tc>
          <w:tcPr>
            <w:tcW w:w="640" w:type="dxa"/>
            <w:tcBorders>
              <w:top w:val="single" w:color="auto" w:sz="4" w:space="0"/>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序号</w:t>
            </w:r>
          </w:p>
        </w:tc>
        <w:tc>
          <w:tcPr>
            <w:tcW w:w="2079" w:type="dxa"/>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b/>
                <w:bCs/>
                <w:sz w:val="24"/>
              </w:rPr>
              <w:t>近三年受托类似项目</w:t>
            </w:r>
          </w:p>
        </w:tc>
        <w:tc>
          <w:tcPr>
            <w:tcW w:w="4560" w:type="dxa"/>
            <w:gridSpan w:val="2"/>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委托单位</w:t>
            </w:r>
          </w:p>
        </w:tc>
        <w:tc>
          <w:tcPr>
            <w:tcW w:w="2234" w:type="dxa"/>
            <w:gridSpan w:val="3"/>
            <w:tcBorders>
              <w:top w:val="single" w:color="auto" w:sz="4" w:space="0"/>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备注</w:t>
            </w:r>
          </w:p>
        </w:tc>
      </w:tr>
      <w:tr>
        <w:tblPrEx>
          <w:tblCellMar>
            <w:top w:w="0" w:type="dxa"/>
            <w:left w:w="108" w:type="dxa"/>
            <w:bottom w:w="0" w:type="dxa"/>
            <w:right w:w="108" w:type="dxa"/>
          </w:tblCellMar>
        </w:tblPrEx>
        <w:trPr>
          <w:trHeight w:val="661"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1</w:t>
            </w:r>
          </w:p>
        </w:tc>
        <w:tc>
          <w:tcPr>
            <w:tcW w:w="2079" w:type="dxa"/>
            <w:tcBorders>
              <w:top w:val="nil"/>
              <w:left w:val="nil"/>
              <w:bottom w:val="single" w:color="auto" w:sz="4" w:space="0"/>
              <w:right w:val="single" w:color="auto" w:sz="4" w:space="0"/>
            </w:tcBorders>
            <w:vAlign w:val="center"/>
          </w:tcPr>
          <w:p>
            <w:pPr>
              <w:widowControl/>
              <w:ind w:left="120" w:hanging="120"/>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557"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2</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693"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3</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56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4</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5</w:t>
            </w: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r>
              <w:rPr>
                <w:rFonts w:hint="eastAsia" w:ascii="宋体" w:hAnsi="宋体" w:cs="宋体"/>
                <w:sz w:val="24"/>
              </w:rPr>
              <w:t>　</w:t>
            </w: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trHeight w:val="710" w:hRule="atLeast"/>
        </w:trPr>
        <w:tc>
          <w:tcPr>
            <w:tcW w:w="640" w:type="dxa"/>
            <w:tcBorders>
              <w:top w:val="nil"/>
              <w:left w:val="single" w:color="auto" w:sz="4" w:space="0"/>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079" w:type="dxa"/>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4560" w:type="dxa"/>
            <w:gridSpan w:val="2"/>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c>
          <w:tcPr>
            <w:tcW w:w="2234" w:type="dxa"/>
            <w:gridSpan w:val="3"/>
            <w:tcBorders>
              <w:top w:val="nil"/>
              <w:left w:val="nil"/>
              <w:bottom w:val="single" w:color="auto" w:sz="4" w:space="0"/>
              <w:right w:val="single" w:color="auto" w:sz="4" w:space="0"/>
            </w:tcBorders>
            <w:vAlign w:val="center"/>
          </w:tcPr>
          <w:p>
            <w:pPr>
              <w:widowControl/>
              <w:ind w:left="120" w:hanging="120"/>
              <w:jc w:val="center"/>
              <w:rPr>
                <w:rFonts w:ascii="宋体" w:hAnsi="宋体" w:cs="宋体"/>
                <w:sz w:val="24"/>
              </w:rPr>
            </w:pPr>
          </w:p>
        </w:tc>
      </w:tr>
      <w:tr>
        <w:tblPrEx>
          <w:tblCellMar>
            <w:top w:w="0" w:type="dxa"/>
            <w:left w:w="108" w:type="dxa"/>
            <w:bottom w:w="0" w:type="dxa"/>
            <w:right w:w="108" w:type="dxa"/>
          </w:tblCellMar>
        </w:tblPrEx>
        <w:trPr>
          <w:gridAfter w:val="1"/>
          <w:wAfter w:w="253" w:type="dxa"/>
          <w:trHeight w:val="585" w:hRule="atLeast"/>
        </w:trPr>
        <w:tc>
          <w:tcPr>
            <w:tcW w:w="9260" w:type="dxa"/>
            <w:gridSpan w:val="6"/>
            <w:tcBorders>
              <w:top w:val="single" w:color="auto" w:sz="4" w:space="0"/>
              <w:left w:val="nil"/>
              <w:bottom w:val="nil"/>
              <w:right w:val="nil"/>
            </w:tcBorders>
            <w:vAlign w:val="bottom"/>
          </w:tcPr>
          <w:p>
            <w:pPr>
              <w:widowControl/>
              <w:ind w:left="120" w:hanging="120"/>
              <w:rPr>
                <w:rFonts w:ascii="宋体" w:hAnsi="宋体" w:cs="宋体"/>
                <w:sz w:val="24"/>
              </w:rPr>
            </w:pPr>
            <w:r>
              <w:rPr>
                <w:rFonts w:hint="eastAsia" w:ascii="宋体" w:hAnsi="宋体" w:cs="宋体"/>
                <w:sz w:val="24"/>
              </w:rPr>
              <w:t>说明：</w:t>
            </w:r>
          </w:p>
          <w:p>
            <w:pPr>
              <w:widowControl/>
              <w:ind w:left="120" w:hanging="120"/>
              <w:rPr>
                <w:rFonts w:hint="default" w:ascii="宋体" w:hAnsi="宋体" w:eastAsia="宋体" w:cs="宋体"/>
                <w:sz w:val="24"/>
                <w:lang w:val="en-US" w:eastAsia="zh-CN"/>
              </w:rPr>
            </w:pPr>
            <w:r>
              <w:rPr>
                <w:rFonts w:hint="eastAsia" w:ascii="宋体" w:hAnsi="宋体" w:cs="宋体"/>
                <w:sz w:val="24"/>
              </w:rPr>
              <w:t>要求附项目的合同的复印件加盖公章</w:t>
            </w:r>
          </w:p>
        </w:tc>
      </w:tr>
      <w:tr>
        <w:tblPrEx>
          <w:tblCellMar>
            <w:top w:w="0" w:type="dxa"/>
            <w:left w:w="108" w:type="dxa"/>
            <w:bottom w:w="0" w:type="dxa"/>
            <w:right w:w="108" w:type="dxa"/>
          </w:tblCellMar>
        </w:tblPrEx>
        <w:trPr>
          <w:gridAfter w:val="1"/>
          <w:wAfter w:w="253" w:type="dxa"/>
          <w:trHeight w:val="585" w:hRule="atLeast"/>
        </w:trPr>
        <w:tc>
          <w:tcPr>
            <w:tcW w:w="9260" w:type="dxa"/>
            <w:gridSpan w:val="6"/>
            <w:tcBorders>
              <w:top w:val="nil"/>
              <w:left w:val="nil"/>
              <w:bottom w:val="nil"/>
              <w:right w:val="nil"/>
            </w:tcBorders>
            <w:vAlign w:val="bottom"/>
          </w:tcPr>
          <w:p>
            <w:pPr>
              <w:widowControl/>
              <w:ind w:left="120" w:hanging="120"/>
              <w:rPr>
                <w:rFonts w:ascii="宋体" w:hAnsi="宋体" w:cs="宋体"/>
                <w:sz w:val="24"/>
              </w:rPr>
            </w:pPr>
          </w:p>
        </w:tc>
      </w:tr>
      <w:tr>
        <w:tblPrEx>
          <w:tblCellMar>
            <w:top w:w="0" w:type="dxa"/>
            <w:left w:w="108" w:type="dxa"/>
            <w:bottom w:w="0" w:type="dxa"/>
            <w:right w:w="108" w:type="dxa"/>
          </w:tblCellMar>
        </w:tblPrEx>
        <w:trPr>
          <w:gridAfter w:val="1"/>
          <w:wAfter w:w="253" w:type="dxa"/>
          <w:trHeight w:val="1890" w:hRule="atLeast"/>
        </w:trPr>
        <w:tc>
          <w:tcPr>
            <w:tcW w:w="9260" w:type="dxa"/>
            <w:gridSpan w:val="6"/>
            <w:tcBorders>
              <w:top w:val="nil"/>
              <w:left w:val="nil"/>
              <w:bottom w:val="nil"/>
              <w:right w:val="nil"/>
            </w:tcBorders>
            <w:vAlign w:val="center"/>
          </w:tcPr>
          <w:p>
            <w:pPr>
              <w:widowControl/>
              <w:ind w:left="120" w:hanging="120"/>
              <w:rPr>
                <w:rFonts w:ascii="宋体" w:hAnsi="宋体" w:cs="宋体"/>
                <w:sz w:val="24"/>
              </w:rPr>
            </w:pPr>
            <w:r>
              <w:rPr>
                <w:rFonts w:hint="eastAsia" w:ascii="宋体" w:hAnsi="宋体" w:cs="宋体"/>
                <w:sz w:val="24"/>
              </w:rPr>
              <w:t>投标单位（签章）：                         法定代表人（签字）：</w:t>
            </w:r>
          </w:p>
        </w:tc>
      </w:tr>
    </w:tbl>
    <w:p>
      <w:pPr>
        <w:ind w:left="120" w:hanging="120"/>
        <w:rPr>
          <w:rFonts w:ascii="宋体" w:hAnsi="宋体" w:cs="宋体"/>
          <w:b/>
          <w:color w:val="000000"/>
          <w:kern w:val="0"/>
          <w:sz w:val="24"/>
          <w:lang w:bidi="ar"/>
        </w:rPr>
      </w:pPr>
    </w:p>
    <w:p>
      <w:pPr>
        <w:ind w:left="120" w:hanging="120"/>
        <w:rPr>
          <w:rFonts w:ascii="宋体" w:hAnsi="宋体" w:cs="宋体"/>
          <w:b/>
          <w:color w:val="000000"/>
          <w:kern w:val="0"/>
          <w:sz w:val="24"/>
          <w:lang w:bidi="ar"/>
        </w:rPr>
      </w:pPr>
    </w:p>
    <w:p>
      <w:pPr>
        <w:autoSpaceDE w:val="0"/>
        <w:autoSpaceDN w:val="0"/>
        <w:adjustRightInd w:val="0"/>
        <w:ind w:left="120" w:hanging="120"/>
        <w:jc w:val="center"/>
        <w:rPr>
          <w:rFonts w:ascii="宋体" w:hAnsi="宋体" w:cs="宋体"/>
          <w:b/>
          <w:bCs/>
          <w:sz w:val="24"/>
          <w:lang w:val="zh-CN"/>
        </w:rPr>
      </w:pPr>
      <w:r>
        <w:rPr>
          <w:rFonts w:hint="eastAsia" w:ascii="宋体" w:hAnsi="宋体" w:cs="宋体"/>
          <w:b/>
          <w:bCs/>
          <w:sz w:val="24"/>
        </w:rPr>
        <w:t>7.</w:t>
      </w:r>
      <w:r>
        <w:rPr>
          <w:rFonts w:hint="eastAsia" w:ascii="宋体" w:hAnsi="宋体" w:cs="宋体"/>
          <w:b/>
          <w:bCs/>
          <w:sz w:val="24"/>
          <w:lang w:val="zh-CN"/>
        </w:rPr>
        <w:t>项目负责人简历表</w:t>
      </w:r>
    </w:p>
    <w:p>
      <w:pPr>
        <w:autoSpaceDE w:val="0"/>
        <w:autoSpaceDN w:val="0"/>
        <w:adjustRightInd w:val="0"/>
        <w:ind w:left="120" w:hanging="120"/>
        <w:jc w:val="center"/>
        <w:rPr>
          <w:rFonts w:ascii="宋体" w:hAnsi="宋体" w:cs="宋体"/>
          <w:sz w:val="24"/>
          <w:lang w:val="zh-CN"/>
        </w:rPr>
      </w:pPr>
    </w:p>
    <w:p>
      <w:pPr>
        <w:autoSpaceDE w:val="0"/>
        <w:autoSpaceDN w:val="0"/>
        <w:adjustRightInd w:val="0"/>
        <w:ind w:left="120" w:hanging="120"/>
        <w:jc w:val="center"/>
        <w:rPr>
          <w:rFonts w:ascii="宋体" w:hAnsi="宋体" w:cs="宋体"/>
          <w:sz w:val="24"/>
          <w:lang w:val="zh-CN"/>
        </w:rPr>
      </w:pPr>
      <w:r>
        <w:rPr>
          <w:rFonts w:hint="eastAsia" w:ascii="宋体" w:hAnsi="宋体" w:cs="宋体"/>
          <w:sz w:val="24"/>
          <w:lang w:val="zh-CN"/>
        </w:rPr>
        <w:t>（1）</w:t>
      </w:r>
      <w:r>
        <w:rPr>
          <w:rFonts w:hint="eastAsia" w:ascii="宋体" w:hAnsi="宋体" w:cs="宋体"/>
          <w:b/>
          <w:bCs/>
          <w:sz w:val="24"/>
          <w:lang w:val="zh-CN"/>
        </w:rPr>
        <w:t>项目负责人简历及业绩表</w:t>
      </w:r>
    </w:p>
    <w:p>
      <w:pPr>
        <w:autoSpaceDE w:val="0"/>
        <w:autoSpaceDN w:val="0"/>
        <w:adjustRightInd w:val="0"/>
        <w:ind w:left="120" w:hanging="120"/>
        <w:jc w:val="center"/>
        <w:rPr>
          <w:rFonts w:ascii="宋体" w:hAnsi="宋体" w:cs="宋体"/>
          <w:b/>
          <w:bCs/>
          <w:sz w:val="24"/>
          <w:lang w:val="zh-CN"/>
        </w:rPr>
      </w:pP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1、项目负责人介绍应包括：姓名、性别、年龄、职称、学历、参加工作时间、从</w:t>
      </w:r>
      <w:r>
        <w:rPr>
          <w:rFonts w:hint="eastAsia" w:ascii="宋体" w:hAnsi="宋体" w:cs="宋体"/>
          <w:sz w:val="24"/>
        </w:rPr>
        <w:t>业年限</w:t>
      </w:r>
      <w:r>
        <w:rPr>
          <w:rFonts w:hint="eastAsia" w:ascii="宋体" w:hAnsi="宋体" w:cs="宋体"/>
          <w:sz w:val="24"/>
          <w:lang w:val="zh-CN"/>
        </w:rPr>
        <w:t>、</w:t>
      </w:r>
      <w:r>
        <w:rPr>
          <w:rFonts w:hint="eastAsia" w:ascii="宋体" w:hAnsi="宋体" w:cs="宋体"/>
          <w:sz w:val="24"/>
          <w:lang w:val="en-US" w:eastAsia="zh-CN"/>
        </w:rPr>
        <w:t>职称</w:t>
      </w:r>
      <w:r>
        <w:rPr>
          <w:rFonts w:hint="eastAsia" w:ascii="宋体" w:hAnsi="宋体" w:cs="宋体"/>
          <w:sz w:val="24"/>
          <w:lang w:val="zh-CN"/>
        </w:rPr>
        <w:t>证书编号以及其他内容。</w:t>
      </w:r>
    </w:p>
    <w:p>
      <w:pPr>
        <w:autoSpaceDE w:val="0"/>
        <w:autoSpaceDN w:val="0"/>
        <w:adjustRightInd w:val="0"/>
        <w:ind w:left="120" w:hanging="120"/>
        <w:rPr>
          <w:rFonts w:ascii="宋体" w:hAnsi="宋体" w:cs="宋体"/>
          <w:sz w:val="24"/>
          <w:lang w:val="zh-CN"/>
        </w:rPr>
      </w:pPr>
      <w:r>
        <w:rPr>
          <w:rFonts w:hint="eastAsia" w:ascii="宋体" w:hAnsi="宋体" w:cs="宋体"/>
          <w:sz w:val="24"/>
          <w:lang w:val="zh-CN"/>
        </w:rPr>
        <w:t>2、项目负责人近3年内类似</w:t>
      </w:r>
      <w:r>
        <w:rPr>
          <w:rFonts w:hint="eastAsia" w:ascii="宋体" w:hAnsi="宋体" w:cs="宋体"/>
          <w:sz w:val="24"/>
        </w:rPr>
        <w:t>从业</w:t>
      </w:r>
      <w:r>
        <w:rPr>
          <w:rFonts w:hint="eastAsia" w:ascii="宋体" w:hAnsi="宋体" w:cs="宋体"/>
          <w:sz w:val="24"/>
          <w:lang w:val="zh-CN"/>
        </w:rPr>
        <w:t>经历应按下表提供。</w:t>
      </w:r>
    </w:p>
    <w:p>
      <w:pPr>
        <w:autoSpaceDE w:val="0"/>
        <w:autoSpaceDN w:val="0"/>
        <w:adjustRightInd w:val="0"/>
        <w:ind w:left="120" w:hanging="120"/>
        <w:jc w:val="center"/>
        <w:outlineLvl w:val="0"/>
        <w:rPr>
          <w:rFonts w:ascii="宋体" w:hAnsi="宋体" w:cs="宋体"/>
          <w:sz w:val="24"/>
          <w:lang w:val="zh-CN"/>
        </w:rPr>
      </w:pPr>
      <w:bookmarkStart w:id="46" w:name="_Toc5684"/>
      <w:r>
        <w:rPr>
          <w:rFonts w:hint="eastAsia" w:ascii="宋体" w:hAnsi="宋体" w:cs="宋体"/>
          <w:sz w:val="24"/>
          <w:lang w:val="zh-CN"/>
        </w:rPr>
        <w:t>项目负责人近3年内类似工作经历一览表</w:t>
      </w:r>
      <w:bookmarkEnd w:id="46"/>
    </w:p>
    <w:tbl>
      <w:tblPr>
        <w:tblStyle w:val="70"/>
        <w:tblW w:w="9162" w:type="dxa"/>
        <w:tblInd w:w="0" w:type="dxa"/>
        <w:tblLayout w:type="fixed"/>
        <w:tblCellMar>
          <w:top w:w="0" w:type="dxa"/>
          <w:left w:w="108" w:type="dxa"/>
          <w:bottom w:w="0" w:type="dxa"/>
          <w:right w:w="108" w:type="dxa"/>
        </w:tblCellMar>
      </w:tblPr>
      <w:tblGrid>
        <w:gridCol w:w="1472"/>
        <w:gridCol w:w="2510"/>
        <w:gridCol w:w="2400"/>
        <w:gridCol w:w="2780"/>
      </w:tblGrid>
      <w:tr>
        <w:tblPrEx>
          <w:tblCellMar>
            <w:top w:w="0" w:type="dxa"/>
            <w:left w:w="108" w:type="dxa"/>
            <w:bottom w:w="0" w:type="dxa"/>
            <w:right w:w="108" w:type="dxa"/>
          </w:tblCellMar>
        </w:tblPrEx>
        <w:trPr>
          <w:trHeight w:val="921" w:hRule="atLeast"/>
        </w:trPr>
        <w:tc>
          <w:tcPr>
            <w:tcW w:w="1472" w:type="dxa"/>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序号</w:t>
            </w:r>
          </w:p>
        </w:tc>
        <w:tc>
          <w:tcPr>
            <w:tcW w:w="2510" w:type="dxa"/>
            <w:tcBorders>
              <w:top w:val="single" w:color="auto" w:sz="12"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项目名称</w:t>
            </w:r>
          </w:p>
        </w:tc>
        <w:tc>
          <w:tcPr>
            <w:tcW w:w="2400" w:type="dxa"/>
            <w:tcBorders>
              <w:top w:val="single" w:color="auto" w:sz="12" w:space="0"/>
              <w:left w:val="single" w:color="auto" w:sz="6" w:space="0"/>
              <w:bottom w:val="single" w:color="auto" w:sz="6" w:space="0"/>
              <w:right w:val="single" w:color="auto" w:sz="6"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rPr>
              <w:t>委托单位</w:t>
            </w:r>
          </w:p>
        </w:tc>
        <w:tc>
          <w:tcPr>
            <w:tcW w:w="2780" w:type="dxa"/>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ind w:left="120" w:hanging="120"/>
              <w:jc w:val="center"/>
              <w:rPr>
                <w:rFonts w:ascii="宋体" w:hAnsi="宋体" w:cs="宋体"/>
                <w:sz w:val="24"/>
              </w:rPr>
            </w:pPr>
            <w:r>
              <w:rPr>
                <w:rFonts w:hint="eastAsia" w:ascii="宋体" w:hAnsi="宋体" w:cs="宋体"/>
                <w:sz w:val="24"/>
                <w:lang w:val="zh-CN"/>
              </w:rPr>
              <w:t>备注</w:t>
            </w:r>
          </w:p>
        </w:tc>
      </w:tr>
      <w:tr>
        <w:tblPrEx>
          <w:tblCellMar>
            <w:top w:w="0" w:type="dxa"/>
            <w:left w:w="108" w:type="dxa"/>
            <w:bottom w:w="0" w:type="dxa"/>
            <w:right w:w="108" w:type="dxa"/>
          </w:tblCellMar>
        </w:tblPrEx>
        <w:trPr>
          <w:trHeight w:val="756" w:hRule="atLeast"/>
        </w:trPr>
        <w:tc>
          <w:tcPr>
            <w:tcW w:w="147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51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40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ind w:left="120" w:hanging="120"/>
              <w:rPr>
                <w:rFonts w:ascii="宋体" w:hAnsi="宋体" w:cs="宋体"/>
                <w:sz w:val="24"/>
              </w:rPr>
            </w:pPr>
          </w:p>
        </w:tc>
        <w:tc>
          <w:tcPr>
            <w:tcW w:w="2780" w:type="dxa"/>
            <w:tcBorders>
              <w:top w:val="single" w:color="auto" w:sz="6" w:space="0"/>
              <w:left w:val="single" w:color="auto" w:sz="6" w:space="0"/>
              <w:bottom w:val="single" w:color="auto" w:sz="12" w:space="0"/>
              <w:right w:val="single" w:color="auto" w:sz="12" w:space="0"/>
            </w:tcBorders>
            <w:vAlign w:val="center"/>
          </w:tcPr>
          <w:p>
            <w:pPr>
              <w:autoSpaceDE w:val="0"/>
              <w:autoSpaceDN w:val="0"/>
              <w:adjustRightInd w:val="0"/>
              <w:ind w:left="120" w:hanging="120"/>
              <w:rPr>
                <w:rFonts w:ascii="宋体" w:hAnsi="宋体" w:cs="宋体"/>
                <w:sz w:val="24"/>
              </w:rPr>
            </w:pPr>
          </w:p>
        </w:tc>
      </w:tr>
    </w:tbl>
    <w:p>
      <w:pPr>
        <w:spacing w:line="480" w:lineRule="auto"/>
        <w:ind w:left="120" w:hanging="120"/>
        <w:rPr>
          <w:rFonts w:ascii="宋体" w:hAnsi="宋体" w:cs="宋体"/>
          <w:sz w:val="24"/>
          <w:lang w:val="zh-CN"/>
        </w:rPr>
      </w:pPr>
      <w:r>
        <w:rPr>
          <w:rFonts w:hint="eastAsia" w:ascii="宋体" w:hAnsi="宋体" w:cs="宋体"/>
          <w:sz w:val="24"/>
          <w:lang w:val="zh-CN"/>
        </w:rPr>
        <w:t>3、项目负责人简历中应附相关资格证书、职称证书、类似业绩、需提供本单位近</w:t>
      </w:r>
      <w:r>
        <w:rPr>
          <w:rFonts w:hint="eastAsia" w:ascii="宋体" w:hAnsi="宋体" w:cs="宋体"/>
          <w:sz w:val="24"/>
        </w:rPr>
        <w:t>1</w:t>
      </w:r>
      <w:r>
        <w:rPr>
          <w:rFonts w:hint="eastAsia" w:ascii="宋体" w:hAnsi="宋体" w:cs="宋体"/>
          <w:sz w:val="24"/>
          <w:lang w:val="zh-CN"/>
        </w:rPr>
        <w:t>年以上工资发放及社保记录等相关证明材料复印件。</w:t>
      </w:r>
    </w:p>
    <w:p>
      <w:pPr>
        <w:spacing w:line="480" w:lineRule="auto"/>
        <w:ind w:left="120" w:hanging="120"/>
        <w:rPr>
          <w:rFonts w:ascii="宋体" w:hAnsi="宋体" w:cs="宋体"/>
          <w:sz w:val="24"/>
        </w:rPr>
      </w:pPr>
    </w:p>
    <w:p>
      <w:pPr>
        <w:spacing w:line="480" w:lineRule="auto"/>
        <w:ind w:left="120" w:hanging="120"/>
        <w:rPr>
          <w:rFonts w:ascii="宋体" w:hAnsi="宋体" w:cs="宋体"/>
          <w:color w:val="FF0000"/>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p>
    <w:p>
      <w:pPr>
        <w:autoSpaceDE w:val="0"/>
        <w:autoSpaceDN w:val="0"/>
        <w:adjustRightInd w:val="0"/>
        <w:ind w:left="120" w:hanging="120"/>
        <w:jc w:val="center"/>
        <w:rPr>
          <w:rFonts w:ascii="宋体" w:hAnsi="宋体" w:cs="宋体"/>
          <w:b/>
          <w:sz w:val="24"/>
        </w:rPr>
      </w:pPr>
      <w:r>
        <w:rPr>
          <w:rFonts w:hint="eastAsia" w:ascii="宋体" w:hAnsi="宋体" w:cs="宋体"/>
          <w:b/>
          <w:sz w:val="24"/>
        </w:rPr>
        <w:t>8、拟参加项目人员表</w:t>
      </w:r>
    </w:p>
    <w:p>
      <w:pPr>
        <w:ind w:left="120" w:hanging="120"/>
        <w:jc w:val="center"/>
        <w:rPr>
          <w:rFonts w:ascii="宋体" w:hAnsi="宋体" w:cs="宋体"/>
          <w:sz w:val="24"/>
        </w:rPr>
      </w:pPr>
    </w:p>
    <w:p>
      <w:pPr>
        <w:autoSpaceDE w:val="0"/>
        <w:autoSpaceDN w:val="0"/>
        <w:adjustRightInd w:val="0"/>
        <w:ind w:left="120" w:hanging="120"/>
        <w:jc w:val="center"/>
        <w:rPr>
          <w:rFonts w:ascii="宋体" w:hAnsi="宋体" w:cs="宋体"/>
          <w:sz w:val="24"/>
          <w:lang w:val="zh-CN"/>
        </w:rPr>
      </w:pPr>
    </w:p>
    <w:p>
      <w:pPr>
        <w:tabs>
          <w:tab w:val="left" w:pos="0"/>
          <w:tab w:val="left" w:pos="567"/>
          <w:tab w:val="left" w:pos="993"/>
          <w:tab w:val="left" w:pos="1134"/>
        </w:tabs>
        <w:snapToGrid w:val="0"/>
        <w:spacing w:line="360" w:lineRule="auto"/>
        <w:ind w:left="643" w:hanging="643"/>
        <w:jc w:val="center"/>
        <w:rPr>
          <w:rFonts w:ascii="宋体" w:hAnsi="宋体" w:cs="Times New Roman"/>
          <w:b/>
          <w:sz w:val="32"/>
          <w:szCs w:val="32"/>
        </w:rPr>
      </w:pPr>
      <w:r>
        <w:rPr>
          <w:rFonts w:hint="eastAsia" w:ascii="宋体" w:hAnsi="宋体" w:cs="Times New Roman"/>
          <w:b/>
          <w:sz w:val="32"/>
          <w:szCs w:val="32"/>
        </w:rPr>
        <w:t>拟担任本项目</w:t>
      </w:r>
      <w:r>
        <w:rPr>
          <w:rFonts w:hint="eastAsia" w:ascii="宋体" w:hAnsi="宋体"/>
          <w:b/>
          <w:sz w:val="32"/>
          <w:szCs w:val="32"/>
        </w:rPr>
        <w:t>检测鉴定</w:t>
      </w:r>
      <w:r>
        <w:rPr>
          <w:rFonts w:hint="eastAsia" w:ascii="宋体" w:hAnsi="宋体" w:cs="Times New Roman"/>
          <w:b/>
          <w:sz w:val="32"/>
          <w:szCs w:val="32"/>
        </w:rPr>
        <w:t>人员汇总表</w:t>
      </w:r>
    </w:p>
    <w:p>
      <w:pPr>
        <w:tabs>
          <w:tab w:val="left" w:pos="0"/>
          <w:tab w:val="left" w:pos="567"/>
          <w:tab w:val="left" w:pos="993"/>
          <w:tab w:val="left" w:pos="1134"/>
        </w:tabs>
        <w:snapToGrid w:val="0"/>
        <w:spacing w:line="360" w:lineRule="auto"/>
        <w:ind w:left="560" w:hanging="560"/>
        <w:rPr>
          <w:rFonts w:ascii="宋体" w:hAnsi="宋体" w:cs="Times New Roman"/>
          <w:b/>
          <w:sz w:val="28"/>
          <w:szCs w:val="28"/>
        </w:rPr>
      </w:pPr>
      <w:r>
        <w:rPr>
          <w:rFonts w:hint="eastAsia" w:ascii="宋体" w:hAnsi="宋体" w:cs="Times New Roman"/>
          <w:sz w:val="28"/>
          <w:szCs w:val="28"/>
        </w:rPr>
        <w:t>投标人（盖章）：</w:t>
      </w:r>
    </w:p>
    <w:tbl>
      <w:tblPr>
        <w:tblStyle w:val="70"/>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48"/>
        <w:gridCol w:w="795"/>
        <w:gridCol w:w="1062"/>
        <w:gridCol w:w="1168"/>
        <w:gridCol w:w="1878"/>
        <w:gridCol w:w="969"/>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2849" w:type="dxa"/>
            <w:gridSpan w:val="2"/>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ind w:left="560" w:hanging="56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岗位名称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姓</w:t>
            </w:r>
            <w:r>
              <w:rPr>
                <w:rFonts w:hint="eastAsia" w:ascii="宋体" w:hAnsi="宋体" w:eastAsia="宋体" w:cs="宋体"/>
                <w:color w:val="000000"/>
                <w:kern w:val="2"/>
                <w:sz w:val="24"/>
                <w:szCs w:val="24"/>
                <w:lang w:val="en-US" w:eastAsia="zh-CN" w:bidi="ar-SA"/>
              </w:rPr>
              <w:t>名</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pStyle w:val="20"/>
              <w:numPr>
                <w:ilvl w:val="0"/>
                <w:numId w:val="0"/>
              </w:numPr>
              <w:spacing w:line="360" w:lineRule="auto"/>
              <w:ind w:leftChars="0" w:right="62" w:rightChars="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执</w:t>
            </w:r>
            <w:r>
              <w:rPr>
                <w:rFonts w:hint="eastAsia" w:ascii="宋体" w:hAnsi="宋体" w:eastAsia="宋体" w:cs="宋体"/>
                <w:color w:val="000000"/>
                <w:kern w:val="2"/>
                <w:sz w:val="24"/>
                <w:szCs w:val="24"/>
                <w:lang w:val="en-US" w:eastAsia="zh-CN" w:bidi="ar-SA"/>
              </w:rPr>
              <w:t>业</w:t>
            </w:r>
          </w:p>
          <w:p>
            <w:pPr>
              <w:pStyle w:val="20"/>
              <w:numPr>
                <w:ilvl w:val="0"/>
                <w:numId w:val="0"/>
              </w:numPr>
              <w:spacing w:line="360" w:lineRule="auto"/>
              <w:ind w:leftChars="0" w:right="62" w:rightChars="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资</w:t>
            </w:r>
            <w:r>
              <w:rPr>
                <w:rFonts w:hint="eastAsia" w:ascii="宋体" w:hAnsi="宋体" w:eastAsia="宋体" w:cs="宋体"/>
                <w:color w:val="000000"/>
                <w:kern w:val="2"/>
                <w:sz w:val="24"/>
                <w:szCs w:val="24"/>
                <w:lang w:val="en-US" w:eastAsia="zh-CN" w:bidi="ar-SA"/>
              </w:rPr>
              <w:t>格</w:t>
            </w:r>
            <w:r>
              <w:rPr>
                <w:rFonts w:hint="eastAsia" w:ascii="宋体" w:hAnsi="宋体" w:cs="宋体"/>
                <w:color w:val="000000"/>
                <w:kern w:val="2"/>
                <w:sz w:val="24"/>
                <w:szCs w:val="24"/>
                <w:lang w:val="en-US" w:eastAsia="zh-CN" w:bidi="ar-SA"/>
              </w:rPr>
              <w:t>/职</w:t>
            </w:r>
            <w:r>
              <w:rPr>
                <w:rFonts w:hint="eastAsia" w:ascii="宋体" w:hAnsi="宋体" w:eastAsia="宋体" w:cs="宋体"/>
                <w:color w:val="000000"/>
                <w:kern w:val="2"/>
                <w:sz w:val="24"/>
                <w:szCs w:val="24"/>
                <w:lang w:val="en-US" w:eastAsia="zh-CN" w:bidi="ar-SA"/>
              </w:rPr>
              <w:t>称</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ind w:leftChars="0" w:right="62"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现任</w:t>
            </w:r>
          </w:p>
          <w:p>
            <w:pPr>
              <w:numPr>
                <w:ilvl w:val="0"/>
                <w:numId w:val="0"/>
              </w:numPr>
              <w:spacing w:line="360" w:lineRule="auto"/>
              <w:ind w:leftChars="0" w:right="62"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职务</w:t>
            </w:r>
          </w:p>
        </w:tc>
        <w:tc>
          <w:tcPr>
            <w:tcW w:w="18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从事检测鉴</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定年限、经验</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和在该项目</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中担任的</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职务</w:t>
            </w:r>
          </w:p>
        </w:tc>
        <w:tc>
          <w:tcPr>
            <w:tcW w:w="96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是否</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驻施</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工现</w:t>
            </w:r>
          </w:p>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场</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restart"/>
            <w:tcBorders>
              <w:top w:val="single" w:color="auto" w:sz="4" w:space="0"/>
              <w:left w:val="single" w:color="auto" w:sz="8" w:space="0"/>
              <w:right w:val="single" w:color="auto" w:sz="4" w:space="0"/>
            </w:tcBorders>
            <w:noWrap w:val="0"/>
            <w:vAlign w:val="center"/>
          </w:tcPr>
          <w:p>
            <w:pPr>
              <w:pStyle w:val="20"/>
              <w:spacing w:line="360" w:lineRule="auto"/>
              <w:ind w:left="0" w:leftChars="0" w:firstLine="240" w:firstLineChars="10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总</w:t>
            </w:r>
            <w:r>
              <w:rPr>
                <w:rFonts w:hint="eastAsia" w:ascii="宋体" w:hAnsi="宋体" w:eastAsia="宋体" w:cs="宋体"/>
                <w:color w:val="000000"/>
                <w:kern w:val="2"/>
                <w:sz w:val="24"/>
                <w:szCs w:val="24"/>
                <w:lang w:val="en-US" w:eastAsia="zh-CN" w:bidi="ar-SA"/>
              </w:rPr>
              <w:t>部</w:t>
            </w:r>
          </w:p>
        </w:tc>
        <w:tc>
          <w:tcPr>
            <w:tcW w:w="1748" w:type="dxa"/>
            <w:tcBorders>
              <w:top w:val="single" w:color="auto" w:sz="4" w:space="0"/>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项目主管</w:t>
            </w:r>
          </w:p>
        </w:tc>
        <w:tc>
          <w:tcPr>
            <w:tcW w:w="795"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tcBorders>
              <w:top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top w:val="single" w:color="auto" w:sz="4" w:space="0"/>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技术主管</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restart"/>
            <w:tcBorders>
              <w:left w:val="single" w:color="auto" w:sz="8" w:space="0"/>
              <w:right w:val="single" w:color="auto" w:sz="4" w:space="0"/>
            </w:tcBorders>
            <w:noWrap w:val="0"/>
            <w:vAlign w:val="center"/>
          </w:tcPr>
          <w:p>
            <w:pPr>
              <w:pStyle w:val="20"/>
              <w:spacing w:line="360" w:lineRule="auto"/>
              <w:ind w:left="0" w:leftChars="0" w:firstLine="0" w:firstLineChars="0"/>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项目主要人员</w:t>
            </w: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项目负责人</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必须</w:t>
            </w:r>
            <w:r>
              <w:rPr>
                <w:rFonts w:hint="eastAsia" w:ascii="宋体" w:hAnsi="宋体" w:eastAsia="宋体" w:cs="宋体"/>
                <w:color w:val="000000"/>
                <w:kern w:val="2"/>
                <w:sz w:val="24"/>
                <w:szCs w:val="24"/>
                <w:lang w:val="en-US" w:eastAsia="zh-CN" w:bidi="ar-SA"/>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01" w:type="dxa"/>
            <w:vMerge w:val="continue"/>
            <w:tcBorders>
              <w:left w:val="single" w:color="auto" w:sz="8" w:space="0"/>
              <w:right w:val="single" w:color="auto" w:sz="4"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748" w:type="dxa"/>
            <w:tcBorders>
              <w:left w:val="single" w:color="auto" w:sz="4" w:space="0"/>
            </w:tcBorders>
            <w:noWrap w:val="0"/>
            <w:vAlign w:val="center"/>
          </w:tcPr>
          <w:p>
            <w:pPr>
              <w:pStyle w:val="2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p>
        </w:tc>
        <w:tc>
          <w:tcPr>
            <w:tcW w:w="795"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062"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16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878"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969" w:type="dxa"/>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c>
          <w:tcPr>
            <w:tcW w:w="1246" w:type="dxa"/>
            <w:tcBorders>
              <w:right w:val="single" w:color="auto" w:sz="8" w:space="0"/>
            </w:tcBorders>
            <w:noWrap w:val="0"/>
            <w:vAlign w:val="center"/>
          </w:tcPr>
          <w:p>
            <w:pPr>
              <w:pStyle w:val="20"/>
              <w:spacing w:line="360" w:lineRule="auto"/>
              <w:ind w:left="560" w:hanging="560"/>
              <w:jc w:val="center"/>
              <w:rPr>
                <w:rFonts w:hint="eastAsia" w:ascii="宋体" w:hAnsi="宋体" w:eastAsia="宋体" w:cs="宋体"/>
                <w:color w:val="000000"/>
                <w:kern w:val="2"/>
                <w:sz w:val="24"/>
                <w:szCs w:val="24"/>
                <w:lang w:val="en-US" w:eastAsia="zh-CN" w:bidi="ar-SA"/>
              </w:rPr>
            </w:pPr>
          </w:p>
        </w:tc>
      </w:tr>
    </w:tbl>
    <w:p>
      <w:pPr>
        <w:spacing w:line="640" w:lineRule="exact"/>
        <w:ind w:left="120" w:hanging="120"/>
        <w:rPr>
          <w:rFonts w:ascii="宋体" w:hAnsi="宋体" w:cs="宋体"/>
          <w:sz w:val="24"/>
        </w:rPr>
      </w:pPr>
      <w:r>
        <w:rPr>
          <w:rFonts w:hint="eastAsia" w:ascii="宋体" w:hAnsi="宋体" w:cs="宋体"/>
          <w:sz w:val="24"/>
        </w:rPr>
        <w:t>　  投标</w:t>
      </w:r>
      <w:r>
        <w:rPr>
          <w:rFonts w:hint="eastAsia" w:ascii="宋体" w:hAnsi="宋体" w:cs="宋体"/>
          <w:color w:val="000000"/>
          <w:sz w:val="24"/>
        </w:rPr>
        <w:t>单位：</w:t>
      </w:r>
      <w:r>
        <w:rPr>
          <w:rFonts w:hint="eastAsia" w:ascii="宋体" w:hAnsi="宋体" w:cs="宋体"/>
          <w:sz w:val="24"/>
        </w:rPr>
        <w:t>(</w:t>
      </w:r>
      <w:r>
        <w:rPr>
          <w:rFonts w:hint="eastAsia" w:ascii="宋体" w:hAnsi="宋体" w:cs="宋体"/>
          <w:color w:val="000000"/>
          <w:sz w:val="24"/>
        </w:rPr>
        <w:t>公章</w:t>
      </w:r>
      <w:r>
        <w:rPr>
          <w:rFonts w:hint="eastAsia" w:ascii="宋体" w:hAnsi="宋体" w:cs="宋体"/>
          <w:sz w:val="24"/>
        </w:rPr>
        <w:t>)：</w:t>
      </w:r>
      <w:r>
        <w:rPr>
          <w:rFonts w:hint="eastAsia" w:ascii="宋体" w:hAnsi="宋体" w:cs="宋体"/>
          <w:sz w:val="24"/>
          <w:u w:val="single"/>
        </w:rPr>
        <w:t xml:space="preserve">                                </w:t>
      </w:r>
    </w:p>
    <w:p>
      <w:pPr>
        <w:spacing w:line="640" w:lineRule="exact"/>
        <w:ind w:firstLine="240" w:firstLineChars="100"/>
        <w:rPr>
          <w:rFonts w:ascii="宋体" w:hAnsi="宋体" w:cs="宋体"/>
          <w:sz w:val="24"/>
          <w:u w:val="single"/>
        </w:rPr>
      </w:pPr>
      <w:r>
        <w:rPr>
          <w:rFonts w:hint="eastAsia" w:ascii="宋体" w:hAnsi="宋体" w:cs="宋体"/>
          <w:sz w:val="24"/>
        </w:rPr>
        <w:t>　</w:t>
      </w:r>
      <w:r>
        <w:rPr>
          <w:rFonts w:hint="eastAsia" w:ascii="宋体" w:hAnsi="宋体" w:cs="宋体"/>
          <w:color w:val="000000"/>
          <w:sz w:val="24"/>
        </w:rPr>
        <w:t>法定代表人或授权代表人（签字或盖章）：</w:t>
      </w:r>
      <w:r>
        <w:rPr>
          <w:rFonts w:hint="eastAsia" w:ascii="宋体" w:hAnsi="宋体" w:cs="宋体"/>
          <w:sz w:val="24"/>
          <w:u w:val="single"/>
        </w:rPr>
        <w:t xml:space="preserve">                </w:t>
      </w:r>
    </w:p>
    <w:p>
      <w:pPr>
        <w:spacing w:line="640" w:lineRule="exact"/>
        <w:ind w:left="120" w:hanging="120"/>
        <w:rPr>
          <w:rFonts w:ascii="宋体" w:hAnsi="宋体" w:cs="宋体"/>
          <w:sz w:val="24"/>
        </w:rPr>
      </w:pPr>
      <w:r>
        <w:rPr>
          <w:rFonts w:hint="eastAsia" w:ascii="宋体" w:hAnsi="宋体" w:cs="宋体"/>
          <w:sz w:val="24"/>
        </w:rPr>
        <w:t>　　日 期:</w:t>
      </w:r>
      <w:r>
        <w:rPr>
          <w:rFonts w:hint="eastAsia" w:ascii="宋体" w:hAnsi="宋体" w:cs="宋体"/>
          <w:sz w:val="24"/>
          <w:u w:val="single"/>
        </w:rPr>
        <w:t xml:space="preserve">                      </w:t>
      </w:r>
    </w:p>
    <w:p>
      <w:pPr>
        <w:ind w:left="120" w:hanging="120"/>
      </w:pPr>
      <w:r>
        <w:rPr>
          <w:rFonts w:hint="eastAsia" w:ascii="宋体" w:hAnsi="宋体" w:cs="宋体"/>
          <w:sz w:val="24"/>
        </w:rPr>
        <w:t>备注：</w:t>
      </w:r>
      <w:r>
        <w:rPr>
          <w:rFonts w:hint="eastAsia" w:ascii="宋体" w:hAnsi="宋体" w:cs="宋体"/>
          <w:color w:val="000000"/>
          <w:sz w:val="24"/>
          <w:lang w:val="zh-CN"/>
        </w:rPr>
        <w:t>附相关注册证书、专业技术职称证书等复印件，加盖公章</w:t>
      </w:r>
      <w:r>
        <w:rPr>
          <w:rFonts w:hint="eastAsia" w:ascii="宋体" w:hAnsi="宋体" w:cs="宋体"/>
          <w:color w:val="000000"/>
          <w:sz w:val="24"/>
        </w:rPr>
        <w:t>。</w:t>
      </w:r>
    </w:p>
    <w:p>
      <w:pPr>
        <w:ind w:left="120" w:hanging="120"/>
        <w:jc w:val="center"/>
        <w:rPr>
          <w:rFonts w:hint="eastAsia" w:ascii="宋体" w:hAnsi="宋体" w:cs="宋体"/>
          <w:b/>
          <w:color w:val="000000"/>
          <w:sz w:val="24"/>
        </w:rPr>
      </w:pPr>
    </w:p>
    <w:p>
      <w:pPr>
        <w:ind w:left="120" w:hanging="120"/>
        <w:jc w:val="center"/>
        <w:rPr>
          <w:rFonts w:hint="eastAsia" w:ascii="宋体" w:hAnsi="宋体" w:cs="宋体"/>
          <w:b/>
          <w:color w:val="000000"/>
          <w:sz w:val="24"/>
        </w:rPr>
      </w:pPr>
    </w:p>
    <w:p>
      <w:pPr>
        <w:ind w:left="120" w:hanging="120"/>
        <w:jc w:val="center"/>
        <w:rPr>
          <w:rFonts w:hint="eastAsia" w:ascii="宋体" w:hAnsi="宋体" w:cs="宋体"/>
          <w:b/>
          <w:color w:val="000000"/>
          <w:sz w:val="24"/>
        </w:rPr>
      </w:pPr>
    </w:p>
    <w:p>
      <w:pPr>
        <w:ind w:left="120" w:hanging="120"/>
        <w:jc w:val="center"/>
        <w:rPr>
          <w:rFonts w:ascii="宋体" w:hAnsi="宋体" w:cs="宋体"/>
          <w:b/>
          <w:color w:val="000000"/>
          <w:sz w:val="24"/>
        </w:rPr>
      </w:pPr>
      <w:r>
        <w:rPr>
          <w:rFonts w:hint="eastAsia" w:ascii="宋体" w:hAnsi="宋体" w:cs="宋体"/>
          <w:b/>
          <w:color w:val="000000"/>
          <w:sz w:val="24"/>
        </w:rPr>
        <w:t>9、商务条款偏离表</w:t>
      </w:r>
    </w:p>
    <w:p>
      <w:pPr>
        <w:ind w:left="120" w:hanging="120"/>
        <w:rPr>
          <w:rFonts w:ascii="宋体" w:hAnsi="宋体" w:cs="宋体"/>
          <w:b/>
          <w:color w:val="000000"/>
          <w:sz w:val="24"/>
        </w:rPr>
      </w:pPr>
    </w:p>
    <w:p>
      <w:pPr>
        <w:ind w:left="120" w:hanging="120"/>
        <w:rPr>
          <w:rFonts w:ascii="宋体" w:hAnsi="宋体" w:cs="宋体"/>
          <w:color w:val="000000"/>
          <w:sz w:val="24"/>
          <w:u w:val="single"/>
        </w:rPr>
      </w:pPr>
      <w:r>
        <w:rPr>
          <w:rFonts w:hint="eastAsia" w:ascii="宋体" w:hAnsi="宋体" w:cs="宋体"/>
          <w:color w:val="000000"/>
          <w:sz w:val="24"/>
        </w:rPr>
        <w:t>项目名称</w:t>
      </w:r>
      <w:r>
        <w:rPr>
          <w:rFonts w:hint="eastAsia" w:ascii="宋体" w:hAnsi="宋体" w:cs="宋体"/>
          <w:color w:val="000000"/>
          <w:sz w:val="24"/>
          <w:u w:val="single"/>
        </w:rPr>
        <w:t xml:space="preserve">         　　　　　            </w:t>
      </w:r>
      <w:r>
        <w:rPr>
          <w:rFonts w:hint="eastAsia" w:ascii="宋体" w:hAnsi="宋体" w:cs="宋体"/>
          <w:color w:val="000000"/>
          <w:sz w:val="24"/>
        </w:rPr>
        <w:t>项目编号：</w:t>
      </w:r>
      <w:r>
        <w:rPr>
          <w:rFonts w:hint="eastAsia" w:ascii="宋体" w:hAnsi="宋体" w:cs="宋体"/>
          <w:color w:val="000000"/>
          <w:sz w:val="24"/>
          <w:u w:val="single"/>
        </w:rPr>
        <w:t>　　　　</w:t>
      </w:r>
    </w:p>
    <w:tbl>
      <w:tblPr>
        <w:tblStyle w:val="70"/>
        <w:tblW w:w="9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8"/>
        <w:gridCol w:w="2277"/>
        <w:gridCol w:w="283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75" w:type="dxa"/>
            <w:vAlign w:val="center"/>
          </w:tcPr>
          <w:p>
            <w:pPr>
              <w:ind w:left="120" w:hanging="120"/>
              <w:jc w:val="center"/>
              <w:rPr>
                <w:rFonts w:ascii="宋体" w:hAnsi="宋体" w:cs="宋体"/>
                <w:color w:val="000000"/>
                <w:sz w:val="24"/>
              </w:rPr>
            </w:pPr>
            <w:r>
              <w:rPr>
                <w:rFonts w:hint="eastAsia" w:ascii="宋体" w:hAnsi="宋体" w:cs="宋体"/>
                <w:color w:val="000000"/>
                <w:sz w:val="24"/>
              </w:rPr>
              <w:t>序号</w:t>
            </w:r>
          </w:p>
        </w:tc>
        <w:tc>
          <w:tcPr>
            <w:tcW w:w="1398" w:type="dxa"/>
            <w:vAlign w:val="center"/>
          </w:tcPr>
          <w:p>
            <w:pPr>
              <w:ind w:left="120" w:hanging="120"/>
              <w:jc w:val="center"/>
              <w:rPr>
                <w:rFonts w:ascii="宋体" w:hAnsi="宋体" w:cs="宋体"/>
                <w:color w:val="000000"/>
                <w:sz w:val="24"/>
              </w:rPr>
            </w:pPr>
            <w:r>
              <w:rPr>
                <w:rFonts w:hint="eastAsia" w:ascii="宋体" w:hAnsi="宋体" w:cs="宋体"/>
                <w:color w:val="000000"/>
                <w:sz w:val="24"/>
              </w:rPr>
              <w:t>招标文件</w:t>
            </w:r>
          </w:p>
          <w:p>
            <w:pPr>
              <w:ind w:left="120" w:hanging="120"/>
              <w:jc w:val="center"/>
              <w:rPr>
                <w:rFonts w:ascii="宋体" w:hAnsi="宋体" w:cs="宋体"/>
                <w:color w:val="000000"/>
                <w:sz w:val="24"/>
              </w:rPr>
            </w:pPr>
            <w:r>
              <w:rPr>
                <w:rFonts w:hint="eastAsia" w:ascii="宋体" w:hAnsi="宋体" w:cs="宋体"/>
                <w:color w:val="000000"/>
                <w:sz w:val="24"/>
              </w:rPr>
              <w:t>条目号</w:t>
            </w:r>
          </w:p>
        </w:tc>
        <w:tc>
          <w:tcPr>
            <w:tcW w:w="2277" w:type="dxa"/>
            <w:vAlign w:val="center"/>
          </w:tcPr>
          <w:p>
            <w:pPr>
              <w:ind w:left="120" w:hanging="120"/>
              <w:jc w:val="center"/>
              <w:rPr>
                <w:rFonts w:ascii="宋体" w:hAnsi="宋体" w:cs="宋体"/>
                <w:color w:val="000000"/>
                <w:sz w:val="24"/>
              </w:rPr>
            </w:pPr>
            <w:r>
              <w:rPr>
                <w:rFonts w:hint="eastAsia" w:ascii="宋体" w:hAnsi="宋体" w:cs="宋体"/>
                <w:color w:val="000000"/>
                <w:sz w:val="24"/>
              </w:rPr>
              <w:t>招标文件的商务条款</w:t>
            </w:r>
          </w:p>
        </w:tc>
        <w:tc>
          <w:tcPr>
            <w:tcW w:w="2835" w:type="dxa"/>
            <w:vAlign w:val="center"/>
          </w:tcPr>
          <w:p>
            <w:pPr>
              <w:ind w:left="120" w:hanging="120"/>
              <w:jc w:val="center"/>
              <w:rPr>
                <w:rFonts w:ascii="宋体" w:hAnsi="宋体" w:cs="宋体"/>
                <w:color w:val="000000"/>
                <w:sz w:val="24"/>
              </w:rPr>
            </w:pPr>
            <w:r>
              <w:rPr>
                <w:rFonts w:hint="eastAsia" w:ascii="宋体" w:hAnsi="宋体" w:cs="宋体"/>
                <w:color w:val="000000"/>
                <w:sz w:val="24"/>
              </w:rPr>
              <w:t>投标文件的商务条款</w:t>
            </w:r>
          </w:p>
        </w:tc>
        <w:tc>
          <w:tcPr>
            <w:tcW w:w="1984" w:type="dxa"/>
            <w:vAlign w:val="center"/>
          </w:tcPr>
          <w:p>
            <w:pPr>
              <w:ind w:left="120" w:hanging="120"/>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1</w:t>
            </w: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2</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3</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675" w:type="dxa"/>
          </w:tcPr>
          <w:p>
            <w:pPr>
              <w:ind w:left="120" w:hanging="120"/>
              <w:rPr>
                <w:rFonts w:ascii="宋体" w:hAnsi="宋体" w:cs="宋体"/>
                <w:color w:val="000000"/>
                <w:sz w:val="24"/>
              </w:rPr>
            </w:pPr>
            <w:r>
              <w:rPr>
                <w:rFonts w:hint="eastAsia" w:ascii="宋体" w:hAnsi="宋体" w:cs="宋体"/>
                <w:color w:val="000000"/>
                <w:sz w:val="24"/>
              </w:rPr>
              <w:t>…</w:t>
            </w:r>
          </w:p>
          <w:p>
            <w:pPr>
              <w:ind w:left="120" w:hanging="120"/>
              <w:rPr>
                <w:rFonts w:ascii="宋体" w:hAnsi="宋体" w:cs="宋体"/>
                <w:color w:val="000000"/>
                <w:sz w:val="24"/>
              </w:rPr>
            </w:pPr>
          </w:p>
        </w:tc>
        <w:tc>
          <w:tcPr>
            <w:tcW w:w="1398" w:type="dxa"/>
          </w:tcPr>
          <w:p>
            <w:pPr>
              <w:widowControl/>
              <w:ind w:left="120" w:hanging="120"/>
              <w:jc w:val="left"/>
              <w:rPr>
                <w:rFonts w:ascii="宋体" w:hAnsi="宋体" w:cs="宋体"/>
                <w:color w:val="000000"/>
                <w:sz w:val="24"/>
              </w:rPr>
            </w:pPr>
          </w:p>
          <w:p>
            <w:pPr>
              <w:ind w:left="120" w:hanging="120"/>
              <w:rPr>
                <w:rFonts w:ascii="宋体" w:hAnsi="宋体" w:cs="宋体"/>
                <w:color w:val="000000"/>
                <w:sz w:val="24"/>
              </w:rPr>
            </w:pPr>
          </w:p>
        </w:tc>
        <w:tc>
          <w:tcPr>
            <w:tcW w:w="2277" w:type="dxa"/>
          </w:tcPr>
          <w:p>
            <w:pPr>
              <w:ind w:left="120" w:hanging="120"/>
              <w:rPr>
                <w:rFonts w:ascii="宋体" w:hAnsi="宋体" w:cs="宋体"/>
                <w:color w:val="000000"/>
                <w:sz w:val="24"/>
              </w:rPr>
            </w:pPr>
          </w:p>
        </w:tc>
        <w:tc>
          <w:tcPr>
            <w:tcW w:w="2835" w:type="dxa"/>
          </w:tcPr>
          <w:p>
            <w:pPr>
              <w:ind w:left="120" w:hanging="120"/>
              <w:rPr>
                <w:rFonts w:ascii="宋体" w:hAnsi="宋体" w:cs="宋体"/>
                <w:color w:val="000000"/>
                <w:sz w:val="24"/>
              </w:rPr>
            </w:pPr>
          </w:p>
        </w:tc>
        <w:tc>
          <w:tcPr>
            <w:tcW w:w="1984" w:type="dxa"/>
          </w:tcPr>
          <w:p>
            <w:pPr>
              <w:ind w:left="120" w:hanging="120"/>
              <w:rPr>
                <w:rFonts w:ascii="宋体" w:hAnsi="宋体" w:cs="宋体"/>
                <w:color w:val="000000"/>
                <w:sz w:val="24"/>
              </w:rPr>
            </w:pPr>
          </w:p>
        </w:tc>
      </w:tr>
    </w:tbl>
    <w:p>
      <w:pPr>
        <w:ind w:left="120" w:hanging="120"/>
        <w:rPr>
          <w:rFonts w:ascii="宋体" w:hAnsi="宋体" w:cs="宋体"/>
          <w:color w:val="000000"/>
          <w:sz w:val="24"/>
        </w:rPr>
      </w:pPr>
    </w:p>
    <w:p>
      <w:pPr>
        <w:ind w:left="120" w:hanging="120"/>
        <w:rPr>
          <w:rFonts w:ascii="宋体" w:hAnsi="宋体" w:cs="宋体"/>
          <w:color w:val="000000"/>
          <w:sz w:val="24"/>
        </w:rPr>
      </w:pPr>
    </w:p>
    <w:p>
      <w:pPr>
        <w:spacing w:before="100" w:beforeAutospacing="1" w:after="100" w:afterAutospacing="1"/>
        <w:ind w:left="120" w:hanging="120"/>
        <w:rPr>
          <w:rFonts w:ascii="宋体" w:hAnsi="宋体" w:cs="宋体"/>
          <w:color w:val="000000"/>
          <w:sz w:val="24"/>
          <w:u w:val="single"/>
        </w:rPr>
      </w:pPr>
      <w:r>
        <w:rPr>
          <w:rFonts w:hint="eastAsia" w:ascii="宋体" w:hAnsi="宋体" w:cs="宋体"/>
          <w:color w:val="000000"/>
          <w:sz w:val="24"/>
        </w:rPr>
        <w:t xml:space="preserve">　投标单位： </w:t>
      </w:r>
      <w:r>
        <w:rPr>
          <w:rFonts w:hint="eastAsia" w:ascii="宋体" w:hAnsi="宋体" w:cs="宋体"/>
          <w:color w:val="000000"/>
          <w:sz w:val="24"/>
          <w:u w:val="single"/>
        </w:rPr>
        <w:t xml:space="preserve">                       （公章）   </w:t>
      </w:r>
    </w:p>
    <w:p>
      <w:pPr>
        <w:ind w:left="120" w:hanging="120"/>
        <w:rPr>
          <w:rFonts w:ascii="宋体" w:hAnsi="宋体" w:cs="宋体"/>
          <w:color w:val="000000"/>
          <w:sz w:val="24"/>
        </w:rPr>
      </w:pPr>
      <w:r>
        <w:rPr>
          <w:rFonts w:hint="eastAsia" w:ascii="宋体" w:hAnsi="宋体" w:cs="宋体"/>
          <w:color w:val="000000"/>
          <w:sz w:val="24"/>
        </w:rPr>
        <w:t xml:space="preserve">  法定代表人或授权代表人（签字或盖章）：</w:t>
      </w:r>
      <w:r>
        <w:rPr>
          <w:rFonts w:hint="eastAsia" w:ascii="宋体" w:hAnsi="宋体" w:cs="宋体"/>
          <w:color w:val="000000"/>
          <w:sz w:val="24"/>
          <w:u w:val="single"/>
        </w:rPr>
        <w:t xml:space="preserve">             </w:t>
      </w:r>
      <w:r>
        <w:rPr>
          <w:rFonts w:hint="eastAsia" w:ascii="宋体" w:hAnsi="宋体" w:cs="宋体"/>
          <w:color w:val="000000"/>
          <w:sz w:val="24"/>
        </w:rPr>
        <w:t>　</w:t>
      </w:r>
    </w:p>
    <w:p>
      <w:pPr>
        <w:ind w:left="120" w:hanging="120"/>
        <w:rPr>
          <w:rFonts w:ascii="宋体" w:hAnsi="宋体" w:cs="宋体"/>
          <w:color w:val="000000"/>
          <w:sz w:val="24"/>
        </w:rPr>
      </w:pPr>
      <w:r>
        <w:rPr>
          <w:rFonts w:hint="eastAsia" w:ascii="宋体" w:hAnsi="宋体" w:cs="宋体"/>
          <w:color w:val="000000"/>
          <w:sz w:val="24"/>
        </w:rPr>
        <w:t xml:space="preserve">      日期：   年   月   日</w:t>
      </w:r>
    </w:p>
    <w:p>
      <w:pPr>
        <w:ind w:left="120" w:hanging="120"/>
        <w:jc w:val="center"/>
        <w:rPr>
          <w:rFonts w:ascii="宋体" w:hAnsi="宋体" w:cs="宋体"/>
          <w:b/>
          <w:color w:val="000000"/>
          <w:kern w:val="0"/>
          <w:sz w:val="24"/>
          <w:lang w:val="zh-CN"/>
        </w:rPr>
      </w:pPr>
      <w:r>
        <w:rPr>
          <w:rFonts w:hint="eastAsia" w:ascii="宋体" w:hAnsi="宋体" w:cs="宋体"/>
          <w:sz w:val="24"/>
        </w:rPr>
        <w:br w:type="page"/>
      </w:r>
      <w:r>
        <w:rPr>
          <w:rFonts w:hint="eastAsia" w:ascii="宋体" w:hAnsi="宋体" w:cs="宋体"/>
          <w:b/>
          <w:color w:val="000000"/>
          <w:kern w:val="0"/>
          <w:sz w:val="24"/>
        </w:rPr>
        <w:t>10、</w:t>
      </w:r>
      <w:r>
        <w:rPr>
          <w:rFonts w:hint="eastAsia" w:ascii="宋体" w:hAnsi="宋体" w:cs="宋体"/>
          <w:b/>
          <w:color w:val="000000"/>
          <w:kern w:val="0"/>
          <w:sz w:val="24"/>
          <w:lang w:val="zh-CN"/>
        </w:rPr>
        <w:t>投标单位（供应商）反商业贿赂承诺书</w:t>
      </w:r>
    </w:p>
    <w:p>
      <w:pPr>
        <w:autoSpaceDE w:val="0"/>
        <w:autoSpaceDN w:val="0"/>
        <w:adjustRightInd w:val="0"/>
        <w:ind w:left="120" w:hanging="120"/>
        <w:jc w:val="left"/>
        <w:rPr>
          <w:rFonts w:ascii="宋体" w:hAnsi="宋体" w:cs="宋体"/>
          <w:color w:val="000000"/>
          <w:kern w:val="0"/>
          <w:sz w:val="24"/>
          <w:lang w:val="zh-CN"/>
        </w:rPr>
      </w:pPr>
      <w:r>
        <w:rPr>
          <w:rFonts w:hint="eastAsia" w:ascii="宋体" w:hAnsi="宋体" w:cs="宋体"/>
          <w:color w:val="000000"/>
          <w:kern w:val="0"/>
          <w:sz w:val="24"/>
          <w:lang w:val="zh-CN"/>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在</w:t>
      </w:r>
      <w:r>
        <w:rPr>
          <w:rFonts w:hint="eastAsia" w:ascii="宋体" w:hAnsi="宋体" w:cs="宋体"/>
          <w:color w:val="000000"/>
          <w:kern w:val="0"/>
          <w:sz w:val="24"/>
          <w:u w:val="single"/>
        </w:rPr>
        <w:t xml:space="preserve">          </w:t>
      </w:r>
      <w:r>
        <w:rPr>
          <w:rFonts w:hint="eastAsia" w:ascii="宋体" w:hAnsi="宋体" w:cs="宋体"/>
          <w:color w:val="000000"/>
          <w:kern w:val="0"/>
          <w:sz w:val="24"/>
        </w:rPr>
        <w:t>号（</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项目）招标活动中，我公司承诺如下 ：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1、不给予国家工作人员及其亲属各种形式的商业贿赂（包括送礼金礼品、有价证券、购物券、回扣、佣金、咨询费、劳务费、赞助费、宣传费、支付旅游费用、报销各种消费凭证、宴请、娱乐等）；</w:t>
      </w:r>
    </w:p>
    <w:p>
      <w:pPr>
        <w:autoSpaceDE w:val="0"/>
        <w:autoSpaceDN w:val="0"/>
        <w:adjustRightInd w:val="0"/>
        <w:ind w:left="120" w:hanging="120"/>
        <w:jc w:val="left"/>
        <w:rPr>
          <w:rFonts w:ascii="宋体" w:hAnsi="宋体" w:cs="宋体"/>
          <w:color w:val="000000"/>
          <w:kern w:val="0"/>
          <w:sz w:val="24"/>
        </w:rPr>
      </w:pPr>
      <w:r>
        <w:rPr>
          <w:rFonts w:hint="eastAsia" w:ascii="宋体" w:hAnsi="宋体" w:cs="宋体"/>
          <w:color w:val="000000"/>
          <w:kern w:val="0"/>
          <w:sz w:val="24"/>
        </w:rPr>
        <w:t xml:space="preserve">    2、不与投标人相互勾结私下协议，弄虚作假，搞假招标、陪标、串通投标，明招暗定，暗箱操作。</w:t>
      </w:r>
    </w:p>
    <w:p>
      <w:pPr>
        <w:ind w:left="120" w:hanging="120"/>
        <w:jc w:val="left"/>
        <w:rPr>
          <w:rFonts w:ascii="宋体" w:hAnsi="宋体" w:cs="宋体"/>
          <w:color w:val="000000"/>
          <w:kern w:val="0"/>
          <w:sz w:val="24"/>
        </w:rPr>
      </w:pPr>
      <w:r>
        <w:rPr>
          <w:rFonts w:hint="eastAsia" w:ascii="宋体" w:hAnsi="宋体" w:cs="宋体"/>
          <w:color w:val="000000"/>
          <w:kern w:val="0"/>
          <w:sz w:val="24"/>
        </w:rPr>
        <w:t xml:space="preserve">    3、我公司法人及项目参与人员有亲戚担任业主方副科级以上领导职务时，自愿放弃此次投标权。</w:t>
      </w:r>
    </w:p>
    <w:p>
      <w:pPr>
        <w:autoSpaceDE w:val="0"/>
        <w:autoSpaceDN w:val="0"/>
        <w:adjustRightInd w:val="0"/>
        <w:ind w:left="120" w:hanging="120"/>
        <w:jc w:val="left"/>
        <w:rPr>
          <w:rFonts w:ascii="宋体" w:hAnsi="宋体" w:cs="宋体"/>
          <w:color w:val="000000"/>
          <w:kern w:val="0"/>
          <w:sz w:val="24"/>
        </w:rPr>
      </w:pPr>
      <w:r>
        <w:rPr>
          <w:rFonts w:hint="eastAsia" w:ascii="宋体" w:hAnsi="宋体" w:cs="宋体"/>
          <w:color w:val="000000"/>
          <w:kern w:val="0"/>
          <w:sz w:val="24"/>
        </w:rPr>
        <w:t xml:space="preserve">    如有上述行为，一经发现，我公司及项目参与人员愿意按照《政府采购法》、《招投标法》、《反不正当竞争法》的有关规定接受处罚。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公司法人代表：（签字）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法人授权代表：（签字）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项 目 经 理： （签字）</w:t>
      </w:r>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color w:val="000000"/>
          <w:kern w:val="0"/>
          <w:sz w:val="24"/>
        </w:rPr>
      </w:pPr>
      <w:r>
        <w:rPr>
          <w:rFonts w:hint="eastAsia" w:ascii="宋体" w:hAnsi="宋体" w:cs="宋体"/>
          <w:color w:val="000000"/>
          <w:kern w:val="0"/>
          <w:sz w:val="24"/>
        </w:rPr>
        <w:t xml:space="preserve">                                       </w:t>
      </w:r>
    </w:p>
    <w:p>
      <w:pPr>
        <w:autoSpaceDE w:val="0"/>
        <w:autoSpaceDN w:val="0"/>
        <w:adjustRightInd w:val="0"/>
        <w:ind w:left="120" w:hanging="120"/>
        <w:jc w:val="center"/>
        <w:outlineLvl w:val="0"/>
        <w:rPr>
          <w:rFonts w:ascii="宋体" w:hAnsi="宋体" w:cs="宋体"/>
          <w:color w:val="000000"/>
          <w:kern w:val="0"/>
          <w:sz w:val="24"/>
          <w:u w:val="single"/>
        </w:rPr>
      </w:pPr>
      <w:r>
        <w:rPr>
          <w:rFonts w:hint="eastAsia" w:ascii="宋体" w:hAnsi="宋体" w:cs="宋体"/>
          <w:color w:val="000000"/>
          <w:kern w:val="0"/>
          <w:sz w:val="24"/>
          <w:u w:val="single"/>
        </w:rPr>
        <w:t xml:space="preserve">       </w:t>
      </w:r>
      <w:bookmarkStart w:id="47" w:name="_Toc3410"/>
      <w:r>
        <w:rPr>
          <w:rFonts w:hint="eastAsia" w:ascii="宋体" w:hAnsi="宋体" w:cs="宋体"/>
          <w:color w:val="000000"/>
          <w:kern w:val="0"/>
          <w:sz w:val="24"/>
          <w:u w:val="single"/>
        </w:rPr>
        <w:t>公司签章</w:t>
      </w:r>
      <w:bookmarkEnd w:id="47"/>
      <w:r>
        <w:rPr>
          <w:rFonts w:hint="eastAsia" w:ascii="宋体" w:hAnsi="宋体" w:cs="宋体"/>
          <w:color w:val="000000"/>
          <w:kern w:val="0"/>
          <w:sz w:val="24"/>
          <w:u w:val="single"/>
        </w:rPr>
        <w:t xml:space="preserve">       </w:t>
      </w:r>
    </w:p>
    <w:p>
      <w:pPr>
        <w:autoSpaceDE w:val="0"/>
        <w:autoSpaceDN w:val="0"/>
        <w:adjustRightInd w:val="0"/>
        <w:ind w:left="120" w:hanging="120"/>
        <w:rPr>
          <w:rFonts w:ascii="宋体" w:hAnsi="宋体" w:cs="宋体"/>
          <w:sz w:val="24"/>
        </w:rPr>
      </w:pPr>
      <w:r>
        <w:rPr>
          <w:rFonts w:hint="eastAsia" w:ascii="宋体" w:hAnsi="宋体" w:cs="宋体"/>
          <w:color w:val="000000"/>
          <w:kern w:val="0"/>
          <w:sz w:val="24"/>
        </w:rPr>
        <w:t xml:space="preserve">                       年      月     日</w:t>
      </w: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autoSpaceDE w:val="0"/>
        <w:autoSpaceDN w:val="0"/>
        <w:adjustRightInd w:val="0"/>
        <w:ind w:firstLine="600" w:firstLineChars="250"/>
        <w:rPr>
          <w:rFonts w:ascii="宋体" w:hAnsi="宋体" w:cs="宋体"/>
          <w:color w:val="000000"/>
          <w:kern w:val="0"/>
          <w:sz w:val="24"/>
        </w:rPr>
      </w:pPr>
    </w:p>
    <w:p>
      <w:pPr>
        <w:ind w:left="120" w:hanging="120"/>
        <w:jc w:val="center"/>
        <w:rPr>
          <w:rFonts w:ascii="宋体" w:hAnsi="宋体" w:cs="宋体"/>
          <w:b/>
          <w:sz w:val="24"/>
        </w:rPr>
      </w:pPr>
      <w:r>
        <w:rPr>
          <w:rFonts w:hint="eastAsia" w:ascii="宋体" w:hAnsi="宋体" w:cs="宋体"/>
          <w:b/>
          <w:sz w:val="24"/>
        </w:rPr>
        <w:t>11、服务承诺书</w:t>
      </w:r>
    </w:p>
    <w:p>
      <w:pPr>
        <w:ind w:left="120" w:hanging="120"/>
        <w:jc w:val="left"/>
        <w:rPr>
          <w:rFonts w:hint="default" w:ascii="宋体" w:hAnsi="宋体" w:eastAsia="宋体" w:cs="宋体"/>
          <w:sz w:val="24"/>
          <w:lang w:val="en-US" w:eastAsia="zh-CN"/>
        </w:rPr>
      </w:pPr>
      <w:r>
        <w:rPr>
          <w:rFonts w:hint="eastAsia" w:ascii="宋体" w:hAnsi="宋体" w:cs="宋体"/>
          <w:sz w:val="24"/>
        </w:rPr>
        <w:t>致：</w:t>
      </w:r>
      <w:r>
        <w:rPr>
          <w:rFonts w:hint="eastAsia" w:ascii="宋体" w:hAnsi="宋体" w:cs="宋体"/>
          <w:sz w:val="24"/>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shd w:val="clear"/>
          <w:lang w:val="en-US" w:eastAsia="zh-CN" w:bidi="ar-SA"/>
        </w:rPr>
        <w:t>和田市住房和城乡建设局</w:t>
      </w:r>
    </w:p>
    <w:p>
      <w:pPr>
        <w:ind w:left="120" w:hanging="120"/>
        <w:jc w:val="left"/>
        <w:rPr>
          <w:rFonts w:ascii="宋体" w:hAnsi="宋体" w:cs="宋体"/>
          <w:sz w:val="24"/>
        </w:rPr>
      </w:pPr>
      <w:r>
        <w:rPr>
          <w:rFonts w:hint="eastAsia" w:ascii="宋体" w:hAnsi="宋体" w:cs="宋体"/>
          <w:sz w:val="24"/>
        </w:rPr>
        <w:t xml:space="preserve">    我公司作为</w:t>
      </w:r>
      <w:r>
        <w:rPr>
          <w:rFonts w:hint="eastAsia" w:ascii="宋体" w:hAnsi="宋体" w:cs="宋体"/>
          <w:sz w:val="24"/>
          <w:u w:val="single"/>
        </w:rPr>
        <w:t xml:space="preserve">                                    </w:t>
      </w:r>
      <w:r>
        <w:rPr>
          <w:rFonts w:hint="eastAsia" w:ascii="宋体" w:hAnsi="宋体" w:cs="宋体"/>
          <w:sz w:val="24"/>
        </w:rPr>
        <w:t>中标人，在此郑重承诺：如果在此次投标过程中或者在中标后，招标人或者有管辖权的招标投标行政监管机构发现并查实我公司在所填报的该项目投标文件中存在提供虚假或不真实的信息或者伪造数据、资料或证书等情况，不管招标人或有管辖权的招标投标监管机构是否有合法的处罚依据，我公司将无条件地自动放弃该项目地投标资格和中标资格；如我单位成为中标候选人，在2020年度如我公司因企业名称、资质等级、企业法人、注册资金和性质、主管人员、投标人员、办公地点等情况发生变化，我公司会在发生变化后5日内以书面形式通知业主单位，上述内容发生变化后，不能满足业主单位规定的条件，我公司的该项目中标资格</w:t>
      </w:r>
      <w:r>
        <w:rPr>
          <w:rFonts w:hint="eastAsia" w:ascii="宋体" w:hAnsi="宋体" w:cs="宋体"/>
          <w:color w:val="0000FF"/>
          <w:sz w:val="24"/>
        </w:rPr>
        <w:t>自动解除</w:t>
      </w:r>
      <w:r>
        <w:rPr>
          <w:rFonts w:hint="eastAsia" w:ascii="宋体" w:hAnsi="宋体" w:cs="宋体"/>
          <w:sz w:val="24"/>
        </w:rPr>
        <w:t>。在2020年度如我公司被有关行政管理部门、行业协会、司法机构给予处理、处罚或追究法律责任，我公司中标资格</w:t>
      </w:r>
      <w:r>
        <w:rPr>
          <w:rFonts w:hint="eastAsia" w:ascii="宋体" w:hAnsi="宋体" w:cs="宋体"/>
          <w:color w:val="0000FF"/>
          <w:sz w:val="24"/>
        </w:rPr>
        <w:t>自动解除</w:t>
      </w:r>
      <w:r>
        <w:rPr>
          <w:rFonts w:hint="eastAsia" w:ascii="宋体" w:hAnsi="宋体" w:cs="宋体"/>
          <w:sz w:val="24"/>
        </w:rPr>
        <w:t>。我公司无条件地承认，我公司所收到的中标通知书为无效文件，对招标人不具备任何法律约束力；如发生上述几种情况由此造成的任何后果和损失均由我公司承担。</w:t>
      </w:r>
    </w:p>
    <w:p>
      <w:pPr>
        <w:ind w:left="120" w:hanging="120"/>
        <w:jc w:val="left"/>
        <w:rPr>
          <w:rFonts w:ascii="宋体" w:hAnsi="宋体" w:cs="宋体"/>
          <w:sz w:val="24"/>
        </w:rPr>
      </w:pPr>
      <w:r>
        <w:rPr>
          <w:rFonts w:hint="eastAsia" w:ascii="宋体" w:hAnsi="宋体" w:cs="宋体"/>
          <w:sz w:val="24"/>
        </w:rPr>
        <w:t xml:space="preserve">    我公司郑重承诺：如我公司成为</w:t>
      </w:r>
      <w:r>
        <w:rPr>
          <w:rFonts w:hint="eastAsia" w:ascii="宋体" w:hAnsi="宋体" w:cs="宋体"/>
          <w:sz w:val="24"/>
          <w:lang w:val="en-US" w:eastAsia="zh-CN"/>
        </w:rPr>
        <w:t>和田市住房和城乡建设局</w:t>
      </w:r>
      <w:r>
        <w:rPr>
          <w:rFonts w:hint="eastAsia" w:ascii="宋体" w:hAnsi="宋体" w:cs="宋体"/>
          <w:sz w:val="24"/>
        </w:rPr>
        <w:t>服务机构中标单位，在服务期内必须服从业主单位的领导和管理。</w:t>
      </w:r>
    </w:p>
    <w:p>
      <w:pPr>
        <w:ind w:left="120" w:hanging="120"/>
        <w:jc w:val="left"/>
        <w:rPr>
          <w:rFonts w:ascii="宋体" w:hAnsi="宋体" w:cs="宋体"/>
          <w:sz w:val="24"/>
        </w:rPr>
      </w:pPr>
      <w:r>
        <w:rPr>
          <w:rFonts w:hint="eastAsia" w:ascii="宋体" w:hAnsi="宋体" w:cs="宋体"/>
          <w:sz w:val="24"/>
        </w:rPr>
        <w:t xml:space="preserve">     以上承诺是我公司投标文件的有效组成内容，也是我公司在以后</w:t>
      </w:r>
      <w:r>
        <w:rPr>
          <w:rFonts w:hint="eastAsia" w:ascii="宋体" w:hAnsi="宋体" w:cs="宋体"/>
          <w:color w:val="auto"/>
          <w:sz w:val="24"/>
        </w:rPr>
        <w:t>与</w:t>
      </w:r>
      <w:r>
        <w:rPr>
          <w:rFonts w:hint="eastAsia" w:ascii="宋体" w:hAnsi="宋体" w:cs="宋体"/>
          <w:color w:val="auto"/>
          <w:sz w:val="24"/>
          <w:lang w:val="en-US" w:eastAsia="zh-CN"/>
        </w:rPr>
        <w:t>和田市住房和城乡建设局</w:t>
      </w:r>
      <w:r>
        <w:rPr>
          <w:rFonts w:hint="eastAsia" w:ascii="宋体" w:hAnsi="宋体" w:cs="宋体"/>
          <w:sz w:val="24"/>
        </w:rPr>
        <w:t>签订有关协议有效组成内容，是我公司真实意思表示，对我公司在该项目有关的任何行为中始终具有优先的法律约束力。</w:t>
      </w:r>
    </w:p>
    <w:p>
      <w:pPr>
        <w:ind w:left="120" w:hanging="120"/>
        <w:jc w:val="left"/>
        <w:rPr>
          <w:rFonts w:ascii="宋体" w:hAnsi="宋体" w:cs="宋体"/>
          <w:sz w:val="24"/>
        </w:rPr>
      </w:pPr>
      <w:r>
        <w:rPr>
          <w:rFonts w:hint="eastAsia" w:ascii="宋体" w:hAnsi="宋体" w:cs="宋体"/>
          <w:sz w:val="24"/>
        </w:rPr>
        <w:t xml:space="preserve">    如您们需要我们提供任何进一步资料，请与下述人员联系：</w:t>
      </w:r>
    </w:p>
    <w:p>
      <w:pPr>
        <w:ind w:left="120" w:hanging="120"/>
        <w:jc w:val="left"/>
        <w:rPr>
          <w:rFonts w:ascii="宋体" w:hAnsi="宋体" w:cs="宋体"/>
          <w:sz w:val="24"/>
        </w:rPr>
      </w:pPr>
      <w:r>
        <w:rPr>
          <w:rFonts w:hint="eastAsia" w:ascii="宋体" w:hAnsi="宋体" w:cs="宋体"/>
          <w:sz w:val="24"/>
        </w:rPr>
        <w:t>姓名：                                      职务：</w:t>
      </w:r>
    </w:p>
    <w:p>
      <w:pPr>
        <w:ind w:left="120" w:hanging="120"/>
        <w:jc w:val="left"/>
        <w:rPr>
          <w:rFonts w:ascii="宋体" w:hAnsi="宋体" w:cs="宋体"/>
          <w:sz w:val="24"/>
        </w:rPr>
      </w:pPr>
      <w:r>
        <w:rPr>
          <w:rFonts w:hint="eastAsia" w:ascii="宋体" w:hAnsi="宋体" w:cs="宋体"/>
          <w:sz w:val="24"/>
        </w:rPr>
        <w:t>联系电话和地址：</w:t>
      </w:r>
    </w:p>
    <w:p>
      <w:pPr>
        <w:ind w:left="120" w:hanging="120"/>
        <w:jc w:val="left"/>
        <w:rPr>
          <w:rFonts w:ascii="宋体" w:hAnsi="宋体" w:cs="宋体"/>
          <w:sz w:val="24"/>
        </w:rPr>
      </w:pPr>
    </w:p>
    <w:p>
      <w:pPr>
        <w:ind w:left="120" w:hanging="120"/>
        <w:jc w:val="left"/>
        <w:rPr>
          <w:rFonts w:ascii="宋体" w:hAnsi="宋体" w:cs="宋体"/>
          <w:sz w:val="24"/>
        </w:rPr>
      </w:pPr>
      <w:r>
        <w:rPr>
          <w:rFonts w:hint="eastAsia" w:ascii="宋体" w:hAnsi="宋体" w:cs="宋体"/>
          <w:sz w:val="24"/>
        </w:rPr>
        <w:t>投标人</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（公章）</w:t>
      </w:r>
    </w:p>
    <w:p>
      <w:pPr>
        <w:ind w:left="120" w:hanging="120"/>
        <w:jc w:val="left"/>
        <w:rPr>
          <w:rFonts w:ascii="宋体" w:hAnsi="宋体" w:cs="宋体"/>
          <w:sz w:val="24"/>
        </w:rPr>
      </w:pPr>
      <w:r>
        <w:rPr>
          <w:rFonts w:hint="eastAsia" w:ascii="宋体" w:hAnsi="宋体" w:cs="宋体"/>
          <w:sz w:val="24"/>
        </w:rPr>
        <w:t>法定代表人</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（签字）</w:t>
      </w:r>
    </w:p>
    <w:p>
      <w:pPr>
        <w:spacing w:line="640" w:lineRule="exact"/>
        <w:ind w:left="120" w:hanging="120"/>
        <w:rPr>
          <w:rFonts w:ascii="宋体" w:hAnsi="宋体" w:cs="宋体"/>
          <w:sz w:val="24"/>
        </w:rPr>
      </w:pPr>
      <w:r>
        <w:rPr>
          <w:rFonts w:hint="eastAsia" w:ascii="宋体" w:hAnsi="宋体" w:cs="宋体"/>
          <w:sz w:val="24"/>
        </w:rPr>
        <w:t xml:space="preserve">日 期:                      </w:t>
      </w:r>
    </w:p>
    <w:p>
      <w:pPr>
        <w:ind w:left="120" w:hanging="120"/>
        <w:jc w:val="left"/>
        <w:rPr>
          <w:rFonts w:ascii="宋体" w:hAnsi="宋体" w:cs="宋体"/>
          <w:sz w:val="24"/>
        </w:rPr>
      </w:pPr>
    </w:p>
    <w:p>
      <w:pPr>
        <w:ind w:left="120" w:hanging="120"/>
        <w:jc w:val="left"/>
        <w:rPr>
          <w:rFonts w:ascii="宋体" w:hAnsi="宋体" w:cs="宋体"/>
          <w:sz w:val="24"/>
        </w:rPr>
      </w:pPr>
    </w:p>
    <w:p>
      <w:pPr>
        <w:ind w:left="120" w:hanging="120"/>
        <w:rPr>
          <w:rFonts w:ascii="宋体" w:hAnsi="宋体" w:cs="宋体"/>
          <w:b/>
          <w:bCs/>
          <w:color w:val="000000"/>
          <w:sz w:val="24"/>
        </w:rPr>
      </w:pPr>
    </w:p>
    <w:p>
      <w:pPr>
        <w:pStyle w:val="6"/>
        <w:numPr>
          <w:ilvl w:val="3"/>
          <w:numId w:val="0"/>
        </w:numPr>
        <w:bidi w:val="0"/>
        <w:ind w:right="62" w:rightChars="0" w:firstLine="2168" w:firstLineChars="900"/>
        <w:rPr>
          <w:rFonts w:hint="eastAsia" w:ascii="宋体" w:hAnsi="宋体" w:eastAsia="宋体" w:cs="宋体"/>
          <w:b/>
          <w:bCs w:val="0"/>
          <w:kern w:val="2"/>
          <w:sz w:val="24"/>
          <w:szCs w:val="24"/>
          <w:lang w:val="en-US" w:eastAsia="zh-CN" w:bidi="ar-SA"/>
        </w:rPr>
      </w:pPr>
      <w:bookmarkStart w:id="48" w:name="_Toc19298"/>
      <w:bookmarkStart w:id="49" w:name="_Toc26203"/>
      <w:bookmarkStart w:id="50" w:name="_Toc13017"/>
      <w:bookmarkStart w:id="51" w:name="_Toc5425"/>
      <w:r>
        <w:rPr>
          <w:rFonts w:hint="eastAsia" w:ascii="宋体" w:hAnsi="宋体" w:eastAsia="宋体" w:cs="宋体"/>
          <w:b/>
          <w:bCs w:val="0"/>
          <w:kern w:val="2"/>
          <w:sz w:val="24"/>
          <w:szCs w:val="24"/>
          <w:lang w:val="en-US" w:eastAsia="zh-CN" w:bidi="ar-SA"/>
        </w:rPr>
        <w:t>12、中小企业声明函（符合本声明函填写）</w:t>
      </w:r>
      <w:bookmarkEnd w:id="48"/>
      <w:bookmarkEnd w:id="49"/>
      <w:bookmarkEnd w:id="50"/>
      <w:bookmarkEnd w:id="51"/>
    </w:p>
    <w:p>
      <w:pPr>
        <w:pStyle w:val="9"/>
        <w:keepNext w:val="0"/>
        <w:keepLines w:val="0"/>
        <w:pageBreakBefore w:val="0"/>
        <w:widowControl w:val="0"/>
        <w:tabs>
          <w:tab w:val="left" w:pos="3943"/>
        </w:tabs>
        <w:kinsoku w:val="0"/>
        <w:wordWrap/>
        <w:overflowPunct w:val="0"/>
        <w:topLinePunct w:val="0"/>
        <w:autoSpaceDE/>
        <w:autoSpaceDN/>
        <w:bidi w:val="0"/>
        <w:adjustRightInd/>
        <w:snapToGrid/>
        <w:spacing w:line="440" w:lineRule="exact"/>
        <w:ind w:right="232"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本公司郑重声明，根据《政府采购促进中小企业发展暂行办法》（财库[2011]181 号）的规定，本公司为</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（请填写：中型、小型、微型）企业。即，本公司 同时满足以下条件：</w:t>
      </w:r>
    </w:p>
    <w:p>
      <w:pPr>
        <w:pStyle w:val="9"/>
        <w:keepNext w:val="0"/>
        <w:keepLines w:val="0"/>
        <w:pageBreakBefore w:val="0"/>
        <w:widowControl w:val="0"/>
        <w:tabs>
          <w:tab w:val="left" w:pos="1558"/>
        </w:tabs>
        <w:kinsoku w:val="0"/>
        <w:wordWrap/>
        <w:overflowPunct w:val="0"/>
        <w:topLinePunct w:val="0"/>
        <w:autoSpaceDE/>
        <w:autoSpaceDN/>
        <w:bidi w:val="0"/>
        <w:adjustRightInd/>
        <w:snapToGrid/>
        <w:spacing w:before="71" w:line="440" w:lineRule="exact"/>
        <w:ind w:right="23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1.根据《工业和信息化部、国家统计局、国家发展和改革委员会、财政部关于印发 中小企业划型标准规定的通知》（工信部联企业[2011]300 号）规定的划分标准，本公 司为</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（请填写：中型、小型、微型）企业。</w:t>
      </w:r>
    </w:p>
    <w:p>
      <w:pPr>
        <w:pStyle w:val="9"/>
        <w:keepNext w:val="0"/>
        <w:keepLines w:val="0"/>
        <w:pageBreakBefore w:val="0"/>
        <w:widowControl w:val="0"/>
        <w:tabs>
          <w:tab w:val="left" w:pos="3919"/>
          <w:tab w:val="left" w:pos="6264"/>
          <w:tab w:val="left" w:pos="7399"/>
        </w:tabs>
        <w:kinsoku w:val="0"/>
        <w:wordWrap/>
        <w:overflowPunct w:val="0"/>
        <w:topLinePunct w:val="0"/>
        <w:autoSpaceDE/>
        <w:autoSpaceDN/>
        <w:bidi w:val="0"/>
        <w:adjustRightInd/>
        <w:snapToGrid/>
        <w:spacing w:before="71" w:line="440" w:lineRule="exact"/>
        <w:ind w:right="11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2.本公司参加</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单位的</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项目采购活动提供本企业制 造的货物，由本企业承担工程、提供服务，或者提供其他</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（请填写中型、 小型、微型）企业制造的货物。本条所称货物不包括使用大型企业注册商标的货物。</w:t>
      </w:r>
    </w:p>
    <w:p>
      <w:pPr>
        <w:pStyle w:val="9"/>
        <w:keepNext w:val="0"/>
        <w:keepLines w:val="0"/>
        <w:pageBreakBefore w:val="0"/>
        <w:widowControl w:val="0"/>
        <w:kinsoku w:val="0"/>
        <w:wordWrap/>
        <w:overflowPunct w:val="0"/>
        <w:topLinePunct w:val="0"/>
        <w:autoSpaceDE/>
        <w:autoSpaceDN/>
        <w:bidi w:val="0"/>
        <w:adjustRightInd/>
        <w:snapToGrid/>
        <w:spacing w:before="71" w:line="440" w:lineRule="exact"/>
        <w:ind w:right="234"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3.提交本声明函的投标人必须在响应性文件中提供相应的证明材料并对材料的真实性负法律责任。证明材料包括：上一年度及上一月的财务报表；从业人员名单及工资发放明细表。</w:t>
      </w:r>
    </w:p>
    <w:p>
      <w:pPr>
        <w:pStyle w:val="9"/>
        <w:keepNext w:val="0"/>
        <w:keepLines w:val="0"/>
        <w:pageBreakBefore w:val="0"/>
        <w:widowControl w:val="0"/>
        <w:kinsoku w:val="0"/>
        <w:wordWrap/>
        <w:overflowPunct w:val="0"/>
        <w:topLinePunct w:val="0"/>
        <w:autoSpaceDE/>
        <w:autoSpaceDN/>
        <w:bidi w:val="0"/>
        <w:adjustRightInd/>
        <w:snapToGrid/>
        <w:spacing w:before="71" w:line="440" w:lineRule="exact"/>
        <w:ind w:left="59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本公司对上述声明的真实性负责。如有虚假，将依法承担相应责任。</w:t>
      </w:r>
    </w:p>
    <w:p>
      <w:pPr>
        <w:pStyle w:val="9"/>
        <w:keepNext w:val="0"/>
        <w:keepLines w:val="0"/>
        <w:pageBreakBefore w:val="0"/>
        <w:widowControl w:val="0"/>
        <w:tabs>
          <w:tab w:val="left" w:pos="8107"/>
          <w:tab w:val="left" w:pos="8227"/>
        </w:tabs>
        <w:kinsoku w:val="0"/>
        <w:wordWrap/>
        <w:overflowPunct w:val="0"/>
        <w:topLinePunct w:val="0"/>
        <w:autoSpaceDE/>
        <w:autoSpaceDN/>
        <w:bidi w:val="0"/>
        <w:adjustRightInd/>
        <w:snapToGrid/>
        <w:spacing w:line="440" w:lineRule="exact"/>
        <w:ind w:left="4027" w:right="11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投标单位：</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 xml:space="preserve">（盖章） </w:t>
      </w:r>
    </w:p>
    <w:p>
      <w:pPr>
        <w:pStyle w:val="9"/>
        <w:keepNext w:val="0"/>
        <w:keepLines w:val="0"/>
        <w:pageBreakBefore w:val="0"/>
        <w:widowControl w:val="0"/>
        <w:tabs>
          <w:tab w:val="left" w:pos="8107"/>
          <w:tab w:val="left" w:pos="8227"/>
        </w:tabs>
        <w:kinsoku w:val="0"/>
        <w:wordWrap/>
        <w:overflowPunct w:val="0"/>
        <w:topLinePunct w:val="0"/>
        <w:autoSpaceDE/>
        <w:autoSpaceDN/>
        <w:bidi w:val="0"/>
        <w:adjustRightInd/>
        <w:snapToGrid/>
        <w:spacing w:line="440" w:lineRule="exact"/>
        <w:ind w:left="4027" w:right="118"/>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法定代表人或被授权人：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（签字）</w:t>
      </w:r>
    </w:p>
    <w:p>
      <w:pPr>
        <w:pStyle w:val="9"/>
        <w:keepNext w:val="0"/>
        <w:keepLines w:val="0"/>
        <w:pageBreakBefore w:val="0"/>
        <w:widowControl w:val="0"/>
        <w:tabs>
          <w:tab w:val="left" w:pos="6187"/>
          <w:tab w:val="left" w:pos="7147"/>
          <w:tab w:val="left" w:pos="7747"/>
          <w:tab w:val="left" w:pos="8347"/>
        </w:tabs>
        <w:kinsoku w:val="0"/>
        <w:wordWrap/>
        <w:overflowPunct w:val="0"/>
        <w:topLinePunct w:val="0"/>
        <w:autoSpaceDE/>
        <w:autoSpaceDN/>
        <w:bidi w:val="0"/>
        <w:adjustRightInd/>
        <w:snapToGrid/>
        <w:spacing w:before="46" w:line="440" w:lineRule="exact"/>
        <w:ind w:left="239" w:leftChars="114" w:firstLine="1560" w:firstLineChars="65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日期：  年  月  日</w:t>
      </w:r>
    </w:p>
    <w:p>
      <w:pPr>
        <w:pStyle w:val="9"/>
        <w:keepNext w:val="0"/>
        <w:keepLines w:val="0"/>
        <w:pageBreakBefore w:val="0"/>
        <w:widowControl w:val="0"/>
        <w:kinsoku w:val="0"/>
        <w:wordWrap/>
        <w:overflowPunct w:val="0"/>
        <w:topLinePunct w:val="0"/>
        <w:autoSpaceDE/>
        <w:autoSpaceDN/>
        <w:bidi w:val="0"/>
        <w:adjustRightInd/>
        <w:snapToGrid/>
        <w:spacing w:line="44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说明：</w:t>
      </w:r>
    </w:p>
    <w:p>
      <w:pPr>
        <w:pStyle w:val="9"/>
        <w:keepNext w:val="0"/>
        <w:keepLines w:val="0"/>
        <w:pageBreakBefore w:val="0"/>
        <w:widowControl w:val="0"/>
        <w:kinsoku w:val="0"/>
        <w:wordWrap/>
        <w:overflowPunct w:val="0"/>
        <w:topLinePunct w:val="0"/>
        <w:autoSpaceDE/>
        <w:autoSpaceDN/>
        <w:bidi w:val="0"/>
        <w:adjustRightInd/>
        <w:snapToGrid/>
        <w:spacing w:before="133" w:line="440" w:lineRule="exact"/>
        <w:ind w:right="248" w:firstLine="42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1、填写前请认真阅读《工业和信息化部、国家统计局、国家发展和改革委员会、财政部关 于印发中小企业划型标准规定的通知》（工信部联企业[2011]300 号）和《财政部工业和信息 化部关于印发＜政府采购促进中小企业发展暂行办法＞的通知》(财库[2011]181号)相关规定</w:t>
      </w:r>
    </w:p>
    <w:p>
      <w:pPr>
        <w:pStyle w:val="9"/>
        <w:keepNext w:val="0"/>
        <w:keepLines w:val="0"/>
        <w:pageBreakBefore w:val="0"/>
        <w:widowControl w:val="0"/>
        <w:kinsoku w:val="0"/>
        <w:wordWrap/>
        <w:overflowPunct w:val="0"/>
        <w:topLinePunct w:val="0"/>
        <w:autoSpaceDE/>
        <w:autoSpaceDN/>
        <w:bidi w:val="0"/>
        <w:adjustRightInd/>
        <w:snapToGrid/>
        <w:spacing w:before="133" w:line="440" w:lineRule="exact"/>
        <w:ind w:right="248" w:firstLine="42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2、中小企业部分提供其他中小企业制造货物的应另附说明，并与开标一览表保持一致。</w:t>
      </w:r>
    </w:p>
    <w:p>
      <w:pPr>
        <w:pStyle w:val="58"/>
        <w:spacing w:before="120" w:line="360" w:lineRule="auto"/>
        <w:ind w:firstLine="405"/>
        <w:rPr>
          <w:rFonts w:hint="eastAsia" w:ascii="宋体" w:hAnsi="宋体" w:cs="宋体"/>
          <w:color w:val="000000"/>
          <w:sz w:val="24"/>
          <w:szCs w:val="24"/>
        </w:rPr>
      </w:pPr>
    </w:p>
    <w:p>
      <w:pPr>
        <w:ind w:left="120" w:hanging="120"/>
        <w:jc w:val="center"/>
        <w:rPr>
          <w:rFonts w:hint="eastAsia" w:ascii="宋体" w:hAnsi="宋体" w:cs="宋体"/>
          <w:b/>
          <w:bCs/>
          <w:color w:val="000000"/>
          <w:sz w:val="24"/>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13、通过国家或国</w:t>
      </w:r>
      <w:r>
        <w:rPr>
          <w:rFonts w:hint="eastAsia" w:ascii="宋体" w:hAnsi="宋体" w:cs="宋体"/>
          <w:b/>
          <w:bCs/>
          <w:color w:val="000000"/>
          <w:sz w:val="28"/>
          <w:szCs w:val="28"/>
          <w:lang w:val="en-US" w:eastAsia="zh-CN"/>
        </w:rPr>
        <w:t>际认证资</w:t>
      </w:r>
      <w:r>
        <w:rPr>
          <w:rFonts w:hint="eastAsia" w:ascii="宋体" w:hAnsi="宋体" w:cs="宋体"/>
          <w:b/>
          <w:bCs/>
          <w:color w:val="000000"/>
          <w:sz w:val="24"/>
          <w:lang w:val="en-US" w:eastAsia="zh-CN"/>
        </w:rPr>
        <w:t>格证书（如有，提供复印件）；</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14、投标保证金转账凭证；</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15、具有良好的商业信誉和健全的财务会计制度（提供2019年度财务审计报告）；</w:t>
      </w: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p>
    <w:p>
      <w:pPr>
        <w:ind w:left="120" w:hanging="120"/>
        <w:jc w:val="center"/>
        <w:rPr>
          <w:rFonts w:hint="eastAsia" w:ascii="宋体" w:hAnsi="宋体" w:cs="宋体"/>
          <w:b/>
          <w:bCs/>
          <w:color w:val="000000"/>
          <w:sz w:val="24"/>
          <w:lang w:val="en-US" w:eastAsia="zh-CN"/>
        </w:rPr>
      </w:pPr>
      <w:r>
        <w:rPr>
          <w:rFonts w:hint="eastAsia" w:ascii="宋体" w:hAnsi="宋体" w:cs="宋体"/>
          <w:b/>
          <w:bCs/>
          <w:color w:val="000000"/>
          <w:sz w:val="24"/>
          <w:lang w:val="en-US" w:eastAsia="zh-CN"/>
        </w:rPr>
        <w:t>16、投标人认为必要的相关证明材料及其他</w:t>
      </w:r>
    </w:p>
    <w:p>
      <w:pPr>
        <w:ind w:left="120" w:hanging="120"/>
        <w:jc w:val="center"/>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pStyle w:val="9"/>
        <w:rPr>
          <w:rFonts w:hint="default" w:ascii="宋体" w:hAnsi="宋体" w:eastAsia="宋体" w:cs="宋体"/>
          <w:b/>
          <w:bCs/>
          <w:color w:val="000000"/>
          <w:sz w:val="24"/>
          <w:lang w:val="en-US" w:eastAsia="zh-CN"/>
        </w:rPr>
      </w:pPr>
    </w:p>
    <w:p>
      <w:pPr>
        <w:ind w:left="0" w:leftChars="0" w:firstLine="0" w:firstLineChars="0"/>
        <w:jc w:val="both"/>
        <w:rPr>
          <w:rFonts w:hint="eastAsia" w:ascii="宋体" w:hAnsi="宋体" w:cs="宋体"/>
          <w:b/>
          <w:bCs/>
          <w:color w:val="000000"/>
          <w:sz w:val="24"/>
        </w:rPr>
      </w:pPr>
    </w:p>
    <w:p>
      <w:pPr>
        <w:ind w:left="120" w:hanging="120"/>
        <w:jc w:val="center"/>
        <w:rPr>
          <w:rFonts w:ascii="宋体" w:hAnsi="宋体" w:cs="宋体"/>
          <w:b/>
          <w:bCs/>
          <w:color w:val="000000"/>
          <w:sz w:val="24"/>
        </w:rPr>
      </w:pPr>
      <w:r>
        <w:rPr>
          <w:rFonts w:hint="eastAsia" w:ascii="宋体" w:hAnsi="宋体" w:cs="宋体"/>
          <w:b/>
          <w:bCs/>
          <w:color w:val="000000"/>
          <w:sz w:val="24"/>
        </w:rPr>
        <w:t>第三部分</w:t>
      </w:r>
      <w:bookmarkStart w:id="52" w:name="_Toc31507"/>
      <w:r>
        <w:rPr>
          <w:rFonts w:hint="eastAsia" w:ascii="宋体" w:hAnsi="宋体" w:cs="宋体"/>
          <w:b/>
          <w:bCs/>
          <w:color w:val="000000"/>
          <w:sz w:val="24"/>
          <w:lang w:val="en-US" w:eastAsia="zh-CN"/>
        </w:rPr>
        <w:t xml:space="preserve">  </w:t>
      </w:r>
      <w:r>
        <w:rPr>
          <w:rFonts w:hint="eastAsia" w:ascii="宋体" w:hAnsi="宋体" w:cs="宋体"/>
          <w:b/>
          <w:bCs/>
          <w:color w:val="000000"/>
          <w:sz w:val="24"/>
        </w:rPr>
        <w:t>实施方案</w:t>
      </w:r>
      <w:bookmarkEnd w:id="52"/>
    </w:p>
    <w:p>
      <w:pPr>
        <w:spacing w:line="380" w:lineRule="exact"/>
        <w:ind w:firstLine="480" w:firstLineChars="200"/>
        <w:rPr>
          <w:rFonts w:ascii="宋体" w:hAnsi="宋体" w:cs="宋体"/>
          <w:sz w:val="24"/>
        </w:rPr>
      </w:pPr>
      <w:r>
        <w:rPr>
          <w:rFonts w:hint="eastAsia" w:ascii="宋体" w:hAnsi="宋体" w:cs="宋体"/>
          <w:sz w:val="24"/>
        </w:rPr>
        <w:t>应包括保障完成本项目的全部任务和内容的实施方案等。</w:t>
      </w:r>
    </w:p>
    <w:p>
      <w:pPr>
        <w:spacing w:line="380" w:lineRule="exact"/>
        <w:ind w:firstLine="480" w:firstLineChars="200"/>
        <w:rPr>
          <w:rFonts w:hint="default" w:ascii="宋体" w:hAnsi="宋体" w:eastAsia="宋体" w:cs="宋体"/>
          <w:color w:val="FF0000"/>
          <w:sz w:val="24"/>
          <w:lang w:val="en-US" w:eastAsia="zh-CN"/>
        </w:rPr>
      </w:pPr>
      <w:r>
        <w:rPr>
          <w:rFonts w:hint="eastAsia" w:ascii="宋体" w:hAnsi="宋体" w:cs="宋体"/>
          <w:color w:val="FF0000"/>
          <w:sz w:val="24"/>
          <w:lang w:val="en-US" w:eastAsia="zh-CN"/>
        </w:rPr>
        <w:t>如：</w:t>
      </w:r>
      <w:r>
        <w:rPr>
          <w:rFonts w:hint="eastAsia" w:ascii="宋体" w:hAnsi="宋体" w:eastAsia="宋体" w:cs="宋体"/>
          <w:color w:val="auto"/>
          <w:kern w:val="2"/>
          <w:sz w:val="24"/>
          <w:szCs w:val="24"/>
          <w:lang w:val="en-US" w:eastAsia="zh-CN" w:bidi="ar-SA"/>
        </w:rPr>
        <w:t>房屋结构检测、结构安全性及抗震性能鉴定</w:t>
      </w:r>
      <w:r>
        <w:rPr>
          <w:rFonts w:hint="eastAsia" w:asciiTheme="minorEastAsia" w:hAnsiTheme="minorEastAsia" w:eastAsiaTheme="minorEastAsia" w:cstheme="minorEastAsia"/>
          <w:kern w:val="0"/>
          <w:sz w:val="24"/>
          <w:szCs w:val="24"/>
          <w:lang w:val="en-US" w:eastAsia="zh-CN" w:bidi="ar"/>
        </w:rPr>
        <w:t>等内容。</w:t>
      </w: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firstLine="480" w:firstLineChars="200"/>
        <w:rPr>
          <w:rFonts w:ascii="宋体" w:hAnsi="宋体" w:cs="宋体"/>
          <w:color w:val="FF0000"/>
          <w:sz w:val="24"/>
        </w:rPr>
      </w:pPr>
    </w:p>
    <w:p>
      <w:pPr>
        <w:spacing w:line="380" w:lineRule="exact"/>
        <w:ind w:left="120" w:hanging="120"/>
        <w:rPr>
          <w:rFonts w:ascii="宋体" w:hAnsi="宋体" w:cs="宋体"/>
          <w:sz w:val="24"/>
        </w:rPr>
      </w:pPr>
      <w:r>
        <w:rPr>
          <w:rFonts w:hint="eastAsia" w:ascii="宋体" w:hAnsi="宋体" w:cs="宋体"/>
          <w:sz w:val="24"/>
        </w:rPr>
        <w:t>注：以上内容中若需要表格请投标人自行编制</w:t>
      </w:r>
    </w:p>
    <w:p>
      <w:pPr>
        <w:spacing w:line="380" w:lineRule="exact"/>
        <w:ind w:left="239" w:leftChars="114" w:firstLine="360" w:firstLineChars="150"/>
        <w:rPr>
          <w:rFonts w:ascii="宋体" w:hAnsi="宋体" w:cs="宋体"/>
          <w:sz w:val="24"/>
        </w:rPr>
      </w:pPr>
      <w:r>
        <w:rPr>
          <w:rFonts w:hint="eastAsia" w:ascii="宋体" w:hAnsi="宋体" w:cs="宋体"/>
          <w:sz w:val="24"/>
        </w:rPr>
        <w:t>以上内容为招标文件要求，如投标人认为有与本投标项目相关的其他内容也可自行编制放入。</w:t>
      </w:r>
    </w:p>
    <w:p>
      <w:pPr>
        <w:spacing w:line="440" w:lineRule="exact"/>
        <w:ind w:left="120" w:hanging="120"/>
        <w:rPr>
          <w:rFonts w:ascii="宋体" w:hAnsi="宋体" w:cs="宋体"/>
          <w:sz w:val="24"/>
        </w:rPr>
      </w:pPr>
    </w:p>
    <w:p>
      <w:pPr>
        <w:spacing w:line="440" w:lineRule="exact"/>
        <w:ind w:firstLine="480" w:firstLineChars="200"/>
        <w:rPr>
          <w:rFonts w:ascii="宋体" w:hAnsi="宋体" w:cs="宋体"/>
          <w:color w:val="000000"/>
          <w:sz w:val="24"/>
        </w:rPr>
      </w:pPr>
      <w:r>
        <w:rPr>
          <w:rFonts w:hint="eastAsia" w:ascii="宋体" w:hAnsi="宋体" w:cs="宋体"/>
          <w:color w:val="000000"/>
          <w:sz w:val="24"/>
        </w:rPr>
        <w:t>　投标单位：</w:t>
      </w:r>
      <w:r>
        <w:rPr>
          <w:rFonts w:hint="eastAsia" w:ascii="宋体" w:hAnsi="宋体" w:cs="宋体"/>
          <w:color w:val="000000"/>
          <w:sz w:val="24"/>
          <w:u w:val="single"/>
        </w:rPr>
        <w:t xml:space="preserve">                        </w:t>
      </w:r>
      <w:r>
        <w:rPr>
          <w:rFonts w:hint="eastAsia" w:ascii="宋体" w:hAnsi="宋体" w:cs="宋体"/>
          <w:color w:val="000000"/>
          <w:sz w:val="24"/>
        </w:rPr>
        <w:t xml:space="preserve">（公章）   </w:t>
      </w:r>
    </w:p>
    <w:p>
      <w:pPr>
        <w:spacing w:line="440" w:lineRule="exact"/>
        <w:ind w:firstLine="480" w:firstLineChars="200"/>
        <w:rPr>
          <w:rFonts w:ascii="宋体" w:hAnsi="宋体" w:cs="宋体"/>
          <w:color w:val="000000"/>
          <w:sz w:val="24"/>
        </w:rPr>
      </w:pPr>
      <w:r>
        <w:rPr>
          <w:rFonts w:hint="eastAsia" w:ascii="宋体" w:hAnsi="宋体" w:cs="宋体"/>
          <w:color w:val="000000"/>
          <w:sz w:val="24"/>
        </w:rPr>
        <w:t xml:space="preserve">  法定代表人或授权代表人（签字或盖章）：             　</w:t>
      </w:r>
    </w:p>
    <w:p>
      <w:pPr>
        <w:spacing w:line="440" w:lineRule="exact"/>
        <w:ind w:firstLine="480" w:firstLineChars="200"/>
        <w:rPr>
          <w:rFonts w:ascii="宋体" w:hAnsi="宋体" w:cs="宋体"/>
          <w:color w:val="000000"/>
          <w:sz w:val="24"/>
        </w:rPr>
      </w:pPr>
      <w:r>
        <w:rPr>
          <w:rFonts w:hint="eastAsia" w:ascii="宋体" w:hAnsi="宋体" w:cs="宋体"/>
          <w:color w:val="000000"/>
          <w:sz w:val="24"/>
        </w:rPr>
        <w:t xml:space="preserve">            日期：   年   月   日</w:t>
      </w:r>
    </w:p>
    <w:p>
      <w:pPr>
        <w:ind w:left="120" w:hanging="120"/>
        <w:rPr>
          <w:rFonts w:ascii="宋体" w:hAnsi="宋体" w:cs="宋体"/>
          <w:sz w:val="24"/>
        </w:rPr>
      </w:pPr>
    </w:p>
    <w:p>
      <w:pPr>
        <w:ind w:left="120" w:hanging="120"/>
        <w:rPr>
          <w:sz w:val="24"/>
        </w:rPr>
      </w:pPr>
    </w:p>
    <w:p>
      <w:pPr>
        <w:pStyle w:val="5"/>
        <w:ind w:left="0" w:firstLine="0" w:firstLineChars="0"/>
        <w:outlineLvl w:val="9"/>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9"/>
        <w:rPr>
          <w:color w:val="000000" w:themeColor="text1"/>
          <w14:textFill>
            <w14:solidFill>
              <w14:schemeClr w14:val="tx1"/>
            </w14:solidFill>
          </w14:textFill>
        </w:rPr>
      </w:pPr>
    </w:p>
    <w:p>
      <w:pPr>
        <w:pStyle w:val="9"/>
        <w:rPr>
          <w:rFonts w:hint="default"/>
          <w:color w:val="000000" w:themeColor="text1"/>
          <w:lang w:val="en-US" w:eastAsia="zh-CN"/>
          <w14:textFill>
            <w14:solidFill>
              <w14:schemeClr w14:val="tx1"/>
            </w14:solidFill>
          </w14:textFill>
        </w:rPr>
      </w:pPr>
    </w:p>
    <w:sectPr>
      <w:headerReference r:id="rId15" w:type="default"/>
      <w:footerReference r:id="rId16" w:type="default"/>
      <w:pgSz w:w="11906" w:h="16838"/>
      <w:pgMar w:top="1418" w:right="1247" w:bottom="1418"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auto"/>
    <w:pitch w:val="default"/>
    <w:sig w:usb0="00000000" w:usb1="00000000" w:usb2="00000009" w:usb3="00000000" w:csb0="000001FF" w:csb1="00000000"/>
  </w:font>
  <w:font w:name="TKTypeRegular">
    <w:altName w:val="Segoe Print"/>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right="360" w:hanging="90"/>
      <w:jc w:val="cente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left="90" w:right="360" w:hanging="90"/>
                            <w:jc w:val="center"/>
                          </w:pPr>
                          <w:r>
                            <w:rPr>
                              <w:rFonts w:ascii="宋体" w:hAnsi="宋体"/>
                              <w:szCs w:val="21"/>
                            </w:rPr>
                            <w:t xml:space="preserve">-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47</w:t>
                          </w:r>
                          <w:r>
                            <w:rPr>
                              <w:rFonts w:ascii="宋体" w:hAnsi="宋体"/>
                              <w:szCs w:val="21"/>
                            </w:rPr>
                            <w:fldChar w:fldCharType="end"/>
                          </w:r>
                          <w:r>
                            <w:rPr>
                              <w:rFonts w:ascii="宋体" w:hAnsi="宋体"/>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50"/>
                      <w:ind w:left="90" w:right="360" w:hanging="90"/>
                      <w:jc w:val="center"/>
                    </w:pPr>
                    <w:r>
                      <w:rPr>
                        <w:rFonts w:ascii="宋体" w:hAnsi="宋体"/>
                        <w:szCs w:val="21"/>
                      </w:rPr>
                      <w:t xml:space="preserve">-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47</w:t>
                    </w:r>
                    <w:r>
                      <w:rPr>
                        <w:rFonts w:ascii="宋体" w:hAnsi="宋体"/>
                        <w:szCs w:val="21"/>
                      </w:rPr>
                      <w:fldChar w:fldCharType="end"/>
                    </w:r>
                    <w:r>
                      <w:rPr>
                        <w:rFonts w:ascii="宋体" w:hAnsi="宋体"/>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zql5uc8AAAAFAQAADwAAAAAAAAAB&#10;ACAAAAAiAAAAZHJzL2Rvd25yZXYueG1sUEsBAhQAFAAAAAgAh07iQDdPQLinAQAAQQMAAA4AAAAA&#10;AAAAAQAgAAAAHgEAAGRycy9lMm9Eb2MueG1sUEsFBgAAAAAGAAYAWQEAADcFA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15570" cy="2317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15570" cy="231775"/>
                      </a:xfrm>
                      <a:prstGeom prst="rect">
                        <a:avLst/>
                      </a:prstGeom>
                      <a:noFill/>
                      <a:ln>
                        <a:noFill/>
                      </a:ln>
                    </wps:spPr>
                    <wps:txbx>
                      <w:txbxContent>
                        <w:p>
                          <w:pPr>
                            <w:ind w:left="105" w:hanging="105"/>
                          </w:pPr>
                        </w:p>
                      </w:txbxContent>
                    </wps:txbx>
                    <wps:bodyPr wrap="none" lIns="0" tIns="0" rIns="0" bIns="0">
                      <a:spAutoFit/>
                    </wps:bodyPr>
                  </wps:wsp>
                </a:graphicData>
              </a:graphic>
            </wp:anchor>
          </w:drawing>
        </mc:Choice>
        <mc:Fallback>
          <w:pict>
            <v:shape id="_x0000_s1026" o:spid="_x0000_s1026" o:spt="202" type="#_x0000_t202" style="position:absolute;left:0pt;margin-top:0pt;height:18.25pt;width:9.1pt;mso-position-horizontal:center;mso-position-horizontal-relative:margin;mso-wrap-style:none;z-index:251667456;mso-width-relative:page;mso-height-relative:page;" filled="f" stroked="f" coordsize="21600,21600" o:gfxdata="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60KeV0QAAAAMBAAAPAAAA&#10;AAAAAAEAIAAAACIAAABkcnMvZG93bnJldi54bWxQSwECFAAUAAAACACHTuJAN8KuiKoBAAA/AwAA&#10;DgAAAAAAAAABACAAAAAgAQAAZHJzL2Uyb0RvYy54bWxQSwUGAAAAAAYABgBZAQAAPAUAAAAA&#10;">
              <v:fill on="f" focussize="0,0"/>
              <v:stroke on="f"/>
              <v:imagedata o:title=""/>
              <o:lock v:ext="edit" aspectratio="f"/>
              <v:textbox inset="0mm,0mm,0mm,0mm" style="mso-fit-shape-to-text:t;">
                <w:txbxContent>
                  <w:p>
                    <w:pPr>
                      <w:ind w:left="105" w:hanging="105"/>
                    </w:pPr>
                  </w:p>
                </w:txbxContent>
              </v:textbox>
            </v:shape>
          </w:pict>
        </mc:Fallback>
      </mc:AlternateContent>
    </w:r>
    <w:r>
      <mc:AlternateContent>
        <mc:Choice Requires="wps">
          <w:drawing>
            <wp:inline distT="0" distB="0" distL="114300" distR="114300">
              <wp:extent cx="5759450" cy="359410"/>
              <wp:effectExtent l="0" t="0" r="0" b="0"/>
              <wp:docPr id="14" name="文本框 14"/>
              <wp:cNvGraphicFramePr/>
              <a:graphic xmlns:a="http://schemas.openxmlformats.org/drawingml/2006/main">
                <a:graphicData uri="http://schemas.microsoft.com/office/word/2010/wordprocessingShape">
                  <wps:wsp>
                    <wps:cNvSpPr txBox="1">
                      <a:spLocks noRot="1"/>
                    </wps:cNvSpPr>
                    <wps:spPr>
                      <a:xfrm>
                        <a:off x="0" y="0"/>
                        <a:ext cx="5759450" cy="359410"/>
                      </a:xfrm>
                      <a:prstGeom prst="rect">
                        <a:avLst/>
                      </a:prstGeom>
                      <a:noFill/>
                      <a:ln>
                        <a:noFill/>
                      </a:ln>
                    </wps:spPr>
                    <wps:txbx>
                      <w:txbxContent>
                        <w:p>
                          <w:pPr>
                            <w:ind w:left="105" w:hanging="105"/>
                          </w:pPr>
                        </w:p>
                      </w:txbxContent>
                    </wps:txbx>
                    <wps:bodyPr lIns="0" tIns="0" rIns="0" bIns="0" upright="1"/>
                  </wps:wsp>
                </a:graphicData>
              </a:graphic>
            </wp:inline>
          </w:drawing>
        </mc:Choice>
        <mc:Fallback>
          <w:pict>
            <v:shape id="_x0000_s1026" o:spid="_x0000_s1026" o:spt="202" type="#_x0000_t202" style="height:28.3pt;width:453.5pt;" filled="f" stroked="f" coordsize="21600,21600" o:gfxdata="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T01f7UAAAA&#10;BAEAAA8AAAAAAAAAAQAgAAAAIgAAAGRycy9kb3ducmV2LnhtbFBLAQIUABQAAAAIAIdO4kA7RZPz&#10;rwEAAEkDAAAOAAAAAAAAAAEAIAAAACMBAABkcnMvZTJvRG9jLnhtbFBLBQYAAAAABgAGAFkBAABE&#10;BQAAAAA=&#10;">
              <v:fill on="f" focussize="0,0"/>
              <v:stroke on="f"/>
              <v:imagedata o:title=""/>
              <o:lock v:ext="edit" rotation="t" aspectratio="f"/>
              <v:textbox inset="0mm,0mm,0mm,0mm">
                <w:txbxContent>
                  <w:p>
                    <w:pPr>
                      <w:ind w:left="105" w:hanging="105"/>
                    </w:pPr>
                  </w:p>
                </w:txbxContent>
              </v:textbox>
              <w10:wrap type="non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left="90" w:hanging="90"/>
    </w:pPr>
    <w: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Yrkbn6YBAAA/AwAADgAAAAAA&#10;AAABACAAAAAeAQAAZHJzL2Uyb0RvYy54bWxQSwUGAAAAAAYABgBZAQAANgU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left="105" w:hanging="105"/>
    </w:pPr>
    <w:r>
      <mc:AlternateContent>
        <mc:Choice Requires="wps">
          <w:drawing>
            <wp:anchor distT="0" distB="0" distL="114300" distR="114300" simplePos="0" relativeHeight="251887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76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OqXm5zwAAAAUBAAAPAAAAAAAAAAEA&#10;IAAAACIAAABkcnMvZG93bnJldi54bWxQSwECFAAUAAAACACHTuJAIZKpRaYBAAA/AwAADgAAAAAA&#10;AAABACAAAAAeAQAAZHJzL2Uyb0RvYy54bWxQSwUGAAAAAAYABgBZAQAANgUAAAAA&#10;">
              <v:fill on="f" focussize="0,0"/>
              <v:stroke on="f"/>
              <v:imagedata o:title=""/>
              <o:lock v:ext="edit" aspectratio="f"/>
              <v:textbox inset="0mm,0mm,0mm,0mm" style="mso-fit-shape-to-text:t;">
                <w:txbxContent>
                  <w:p>
                    <w:pPr>
                      <w:snapToGrid w:val="0"/>
                      <w:ind w:left="90" w:hanging="9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single" w:color="auto" w:sz="4" w:space="0"/>
      </w:pBdr>
      <w:bidi w:val="0"/>
      <w:ind w:left="199" w:leftChars="95" w:firstLine="1700" w:firstLineChars="850"/>
      <w:rPr>
        <w:rFonts w:hint="eastAsia"/>
        <w:lang w:val="en-US" w:eastAsia="zh-CN"/>
      </w:rPr>
    </w:pPr>
    <w:r>
      <w:rPr>
        <w:rFonts w:hint="eastAsia"/>
        <w:lang w:val="en-US" w:eastAsia="zh-CN"/>
      </w:rPr>
      <w:t>和田市农村房屋安全性鉴定工作采购项目-------公开招标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left="90" w:hanging="9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single" w:color="auto" w:sz="4" w:space="0"/>
      </w:pBdr>
      <w:bidi w:val="0"/>
      <w:ind w:left="199" w:leftChars="95" w:firstLine="1700" w:firstLineChars="850"/>
      <w:rPr>
        <w:rFonts w:hint="default"/>
        <w:lang w:val="en-US"/>
      </w:rPr>
    </w:pPr>
    <w:r>
      <w:rPr>
        <w:rFonts w:hint="eastAsia"/>
        <w:lang w:val="en-US" w:eastAsia="zh-CN"/>
      </w:rPr>
      <w:t>和田市农村房屋安全性鉴定工作采购项目-------公开招标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left="90" w:hanging="9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0B99A0"/>
    <w:multiLevelType w:val="singleLevel"/>
    <w:tmpl w:val="8C0B99A0"/>
    <w:lvl w:ilvl="0" w:tentative="0">
      <w:start w:val="2"/>
      <w:numFmt w:val="decimal"/>
      <w:suff w:val="nothing"/>
      <w:lvlText w:val="%1、"/>
      <w:lvlJc w:val="left"/>
    </w:lvl>
  </w:abstractNum>
  <w:abstractNum w:abstractNumId="1">
    <w:nsid w:val="A2ED616B"/>
    <w:multiLevelType w:val="singleLevel"/>
    <w:tmpl w:val="A2ED616B"/>
    <w:lvl w:ilvl="0" w:tentative="0">
      <w:start w:val="8"/>
      <w:numFmt w:val="chineseCounting"/>
      <w:suff w:val="nothing"/>
      <w:lvlText w:val="%1、"/>
      <w:lvlJc w:val="left"/>
      <w:rPr>
        <w:rFonts w:hint="eastAsia"/>
      </w:rPr>
    </w:lvl>
  </w:abstractNum>
  <w:abstractNum w:abstractNumId="2">
    <w:nsid w:val="BB9A55CD"/>
    <w:multiLevelType w:val="singleLevel"/>
    <w:tmpl w:val="BB9A55CD"/>
    <w:lvl w:ilvl="0" w:tentative="0">
      <w:start w:val="24"/>
      <w:numFmt w:val="decimal"/>
      <w:suff w:val="nothing"/>
      <w:lvlText w:val="%1、"/>
      <w:lvlJc w:val="left"/>
    </w:lvl>
  </w:abstractNum>
  <w:abstractNum w:abstractNumId="3">
    <w:nsid w:val="F4B7A611"/>
    <w:multiLevelType w:val="singleLevel"/>
    <w:tmpl w:val="F4B7A611"/>
    <w:lvl w:ilvl="0" w:tentative="0">
      <w:start w:val="1"/>
      <w:numFmt w:val="decimal"/>
      <w:suff w:val="nothing"/>
      <w:lvlText w:val="%1、"/>
      <w:lvlJc w:val="left"/>
    </w:lvl>
  </w:abstractNum>
  <w:abstractNum w:abstractNumId="4">
    <w:nsid w:val="09FD638A"/>
    <w:multiLevelType w:val="multilevel"/>
    <w:tmpl w:val="09FD638A"/>
    <w:lvl w:ilvl="0" w:tentative="0">
      <w:start w:val="1"/>
      <w:numFmt w:val="japaneseCounting"/>
      <w:pStyle w:val="128"/>
      <w:lvlText w:val="%1、"/>
      <w:lvlJc w:val="left"/>
      <w:pPr>
        <w:tabs>
          <w:tab w:val="left" w:pos="420"/>
        </w:tabs>
        <w:ind w:left="420" w:hanging="420"/>
      </w:pPr>
      <w:rPr>
        <w:rFonts w:hint="default"/>
      </w:rPr>
    </w:lvl>
    <w:lvl w:ilvl="1" w:tentative="0">
      <w:start w:val="1"/>
      <w:numFmt w:val="decimal"/>
      <w:lvlText w:val="%2、"/>
      <w:lvlJc w:val="left"/>
      <w:pPr>
        <w:tabs>
          <w:tab w:val="left" w:pos="644"/>
        </w:tabs>
        <w:ind w:left="644" w:hanging="360"/>
      </w:pPr>
      <w:rPr>
        <w:rFonts w:ascii="宋体" w:hAnsi="宋体" w:eastAsia="宋体" w:cs="Times New Roman"/>
      </w:rPr>
    </w:lvl>
    <w:lvl w:ilvl="2" w:tentative="0">
      <w:start w:val="2"/>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F0B4B67"/>
    <w:multiLevelType w:val="multilevel"/>
    <w:tmpl w:val="0F0B4B67"/>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6">
    <w:nsid w:val="1237B1A4"/>
    <w:multiLevelType w:val="singleLevel"/>
    <w:tmpl w:val="1237B1A4"/>
    <w:lvl w:ilvl="0" w:tentative="0">
      <w:start w:val="1"/>
      <w:numFmt w:val="decimal"/>
      <w:suff w:val="nothing"/>
      <w:lvlText w:val="%1、"/>
      <w:lvlJc w:val="left"/>
    </w:lvl>
  </w:abstractNum>
  <w:abstractNum w:abstractNumId="7">
    <w:nsid w:val="1D2D113A"/>
    <w:multiLevelType w:val="multilevel"/>
    <w:tmpl w:val="1D2D113A"/>
    <w:lvl w:ilvl="0" w:tentative="0">
      <w:start w:val="1"/>
      <w:numFmt w:val="decimal"/>
      <w:lvlText w:val="%1、"/>
      <w:lvlJc w:val="left"/>
      <w:pPr>
        <w:ind w:left="450" w:hanging="450"/>
      </w:pPr>
      <w:rPr>
        <w:rFonts w:hint="default" w:eastAsia="黑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3B804A6"/>
    <w:multiLevelType w:val="multilevel"/>
    <w:tmpl w:val="23B804A6"/>
    <w:lvl w:ilvl="0" w:tentative="0">
      <w:start w:val="5"/>
      <w:numFmt w:val="japaneseCounting"/>
      <w:lvlText w:val="第%1章"/>
      <w:lvlJc w:val="left"/>
      <w:pPr>
        <w:tabs>
          <w:tab w:val="left" w:pos="1140"/>
        </w:tabs>
        <w:ind w:left="1140" w:hanging="114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C5FE801"/>
    <w:multiLevelType w:val="singleLevel"/>
    <w:tmpl w:val="2C5FE801"/>
    <w:lvl w:ilvl="0" w:tentative="0">
      <w:start w:val="3"/>
      <w:numFmt w:val="chineseCounting"/>
      <w:suff w:val="space"/>
      <w:lvlText w:val="第%1章"/>
      <w:lvlJc w:val="left"/>
      <w:rPr>
        <w:rFonts w:hint="eastAsia"/>
      </w:rPr>
    </w:lvl>
  </w:abstractNum>
  <w:abstractNum w:abstractNumId="10">
    <w:nsid w:val="36D4198A"/>
    <w:multiLevelType w:val="multilevel"/>
    <w:tmpl w:val="36D4198A"/>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none"/>
      <w:lvlRestart w:val="0"/>
      <w:pStyle w:val="6"/>
      <w:isLgl/>
      <w:lvlText w:val="4.1.1.1"/>
      <w:lvlJc w:val="left"/>
      <w:pPr>
        <w:tabs>
          <w:tab w:val="left" w:pos="1751"/>
        </w:tabs>
        <w:ind w:left="17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3C7D36E3"/>
    <w:multiLevelType w:val="multilevel"/>
    <w:tmpl w:val="3C7D36E3"/>
    <w:lvl w:ilvl="0" w:tentative="0">
      <w:start w:val="1"/>
      <w:numFmt w:val="japaneseCounting"/>
      <w:pStyle w:val="3"/>
      <w:lvlText w:val="%1．"/>
      <w:lvlJc w:val="left"/>
      <w:pPr>
        <w:tabs>
          <w:tab w:val="left" w:pos="3060"/>
        </w:tabs>
        <w:ind w:left="3060" w:hanging="720"/>
      </w:pPr>
      <w:rPr>
        <w:b/>
        <w:sz w:val="36"/>
        <w:szCs w:val="36"/>
      </w:rPr>
    </w:lvl>
    <w:lvl w:ilvl="1" w:tentative="0">
      <w:start w:val="6"/>
      <w:numFmt w:val="decimal"/>
      <w:lvlText w:val="%2、"/>
      <w:lvlJc w:val="left"/>
      <w:pPr>
        <w:tabs>
          <w:tab w:val="left" w:pos="3160"/>
        </w:tabs>
        <w:ind w:left="3160" w:hanging="825"/>
      </w:pPr>
    </w:lvl>
    <w:lvl w:ilvl="2" w:tentative="0">
      <w:start w:val="2"/>
      <w:numFmt w:val="japaneseCounting"/>
      <w:lvlText w:val="%3、"/>
      <w:lvlJc w:val="left"/>
      <w:pPr>
        <w:tabs>
          <w:tab w:val="left" w:pos="3475"/>
        </w:tabs>
        <w:ind w:left="3475" w:hanging="720"/>
      </w:pPr>
      <w:rPr>
        <w:b/>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808D697"/>
    <w:multiLevelType w:val="singleLevel"/>
    <w:tmpl w:val="5808D697"/>
    <w:lvl w:ilvl="0" w:tentative="0">
      <w:start w:val="12"/>
      <w:numFmt w:val="decimal"/>
      <w:suff w:val="nothing"/>
      <w:lvlText w:val="%1、"/>
      <w:lvlJc w:val="left"/>
    </w:lvl>
  </w:abstractNum>
  <w:abstractNum w:abstractNumId="13">
    <w:nsid w:val="58B78C3E"/>
    <w:multiLevelType w:val="singleLevel"/>
    <w:tmpl w:val="58B78C3E"/>
    <w:lvl w:ilvl="0" w:tentative="0">
      <w:start w:val="3"/>
      <w:numFmt w:val="chineseCounting"/>
      <w:suff w:val="nothing"/>
      <w:lvlText w:val="%1、"/>
      <w:lvlJc w:val="left"/>
    </w:lvl>
  </w:abstractNum>
  <w:abstractNum w:abstractNumId="14">
    <w:nsid w:val="58B79D08"/>
    <w:multiLevelType w:val="singleLevel"/>
    <w:tmpl w:val="58B79D08"/>
    <w:lvl w:ilvl="0" w:tentative="0">
      <w:start w:val="4"/>
      <w:numFmt w:val="decimal"/>
      <w:suff w:val="nothing"/>
      <w:lvlText w:val="%1、"/>
      <w:lvlJc w:val="left"/>
    </w:lvl>
  </w:abstractNum>
  <w:num w:numId="1">
    <w:abstractNumId w:val="11"/>
  </w:num>
  <w:num w:numId="2">
    <w:abstractNumId w:val="10"/>
  </w:num>
  <w:num w:numId="3">
    <w:abstractNumId w:val="4"/>
  </w:num>
  <w:num w:numId="4">
    <w:abstractNumId w:val="0"/>
  </w:num>
  <w:num w:numId="5">
    <w:abstractNumId w:val="13"/>
  </w:num>
  <w:num w:numId="6">
    <w:abstractNumId w:val="12"/>
  </w:num>
  <w:num w:numId="7">
    <w:abstractNumId w:val="6"/>
  </w:num>
  <w:num w:numId="8">
    <w:abstractNumId w:val="2"/>
  </w:num>
  <w:num w:numId="9">
    <w:abstractNumId w:val="1"/>
  </w:num>
  <w:num w:numId="10">
    <w:abstractNumId w:val="9"/>
  </w:num>
  <w:num w:numId="11">
    <w:abstractNumId w:val="3"/>
  </w:num>
  <w:num w:numId="12">
    <w:abstractNumId w:val="8"/>
  </w:num>
  <w:num w:numId="13">
    <w:abstractNumId w:val="7"/>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Fmt w:val="decimalHalfWidth"/>
  </w:footnotePr>
  <w:endnotePr>
    <w:numFmt w:val="chineseCounting"/>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9E3"/>
    <w:rsid w:val="0000017A"/>
    <w:rsid w:val="00001114"/>
    <w:rsid w:val="000015C3"/>
    <w:rsid w:val="000022DA"/>
    <w:rsid w:val="00002548"/>
    <w:rsid w:val="00002650"/>
    <w:rsid w:val="00002EB5"/>
    <w:rsid w:val="000047A6"/>
    <w:rsid w:val="00005531"/>
    <w:rsid w:val="0000598D"/>
    <w:rsid w:val="0000642A"/>
    <w:rsid w:val="00010945"/>
    <w:rsid w:val="00010D6A"/>
    <w:rsid w:val="00010DE7"/>
    <w:rsid w:val="000114C6"/>
    <w:rsid w:val="0001150B"/>
    <w:rsid w:val="000119F6"/>
    <w:rsid w:val="00011ACB"/>
    <w:rsid w:val="0001305F"/>
    <w:rsid w:val="0001321B"/>
    <w:rsid w:val="00013CD2"/>
    <w:rsid w:val="00014A81"/>
    <w:rsid w:val="000153DC"/>
    <w:rsid w:val="00015A0D"/>
    <w:rsid w:val="00015EFC"/>
    <w:rsid w:val="00017574"/>
    <w:rsid w:val="00021ABA"/>
    <w:rsid w:val="00021B8D"/>
    <w:rsid w:val="00023BA4"/>
    <w:rsid w:val="00023E15"/>
    <w:rsid w:val="00023EAB"/>
    <w:rsid w:val="00024218"/>
    <w:rsid w:val="000249A0"/>
    <w:rsid w:val="000249C0"/>
    <w:rsid w:val="00024AFD"/>
    <w:rsid w:val="0002736B"/>
    <w:rsid w:val="00027C9F"/>
    <w:rsid w:val="00027D10"/>
    <w:rsid w:val="000304EB"/>
    <w:rsid w:val="00030E3D"/>
    <w:rsid w:val="000310D4"/>
    <w:rsid w:val="000313F5"/>
    <w:rsid w:val="00031D85"/>
    <w:rsid w:val="00032314"/>
    <w:rsid w:val="000331FC"/>
    <w:rsid w:val="00033F3F"/>
    <w:rsid w:val="00034325"/>
    <w:rsid w:val="00034591"/>
    <w:rsid w:val="00034620"/>
    <w:rsid w:val="00035933"/>
    <w:rsid w:val="000402B7"/>
    <w:rsid w:val="000419EE"/>
    <w:rsid w:val="00042652"/>
    <w:rsid w:val="00042AD1"/>
    <w:rsid w:val="00043140"/>
    <w:rsid w:val="00043B2F"/>
    <w:rsid w:val="00044301"/>
    <w:rsid w:val="00044550"/>
    <w:rsid w:val="00046295"/>
    <w:rsid w:val="000468CA"/>
    <w:rsid w:val="000503CE"/>
    <w:rsid w:val="00051B8A"/>
    <w:rsid w:val="000529BE"/>
    <w:rsid w:val="00052CBC"/>
    <w:rsid w:val="00052DB3"/>
    <w:rsid w:val="00052F6D"/>
    <w:rsid w:val="0005368B"/>
    <w:rsid w:val="00053C23"/>
    <w:rsid w:val="00053CFF"/>
    <w:rsid w:val="00053E1F"/>
    <w:rsid w:val="00053E58"/>
    <w:rsid w:val="00054F1F"/>
    <w:rsid w:val="00055868"/>
    <w:rsid w:val="00055CAE"/>
    <w:rsid w:val="00056A9F"/>
    <w:rsid w:val="00062622"/>
    <w:rsid w:val="000626D5"/>
    <w:rsid w:val="00062F9B"/>
    <w:rsid w:val="000638E6"/>
    <w:rsid w:val="00065C00"/>
    <w:rsid w:val="00065C0F"/>
    <w:rsid w:val="000669E3"/>
    <w:rsid w:val="0006748A"/>
    <w:rsid w:val="00067FC5"/>
    <w:rsid w:val="0007065D"/>
    <w:rsid w:val="00070921"/>
    <w:rsid w:val="0007118D"/>
    <w:rsid w:val="0007251F"/>
    <w:rsid w:val="00072667"/>
    <w:rsid w:val="00072A12"/>
    <w:rsid w:val="000740C5"/>
    <w:rsid w:val="000759C0"/>
    <w:rsid w:val="0007642E"/>
    <w:rsid w:val="00076B8F"/>
    <w:rsid w:val="000773C9"/>
    <w:rsid w:val="000807F9"/>
    <w:rsid w:val="000809ED"/>
    <w:rsid w:val="00080BDF"/>
    <w:rsid w:val="00080D57"/>
    <w:rsid w:val="00080EFF"/>
    <w:rsid w:val="00081459"/>
    <w:rsid w:val="000814B9"/>
    <w:rsid w:val="00081F12"/>
    <w:rsid w:val="000823DF"/>
    <w:rsid w:val="000827B7"/>
    <w:rsid w:val="0008305D"/>
    <w:rsid w:val="0008316E"/>
    <w:rsid w:val="0008364F"/>
    <w:rsid w:val="00084DF5"/>
    <w:rsid w:val="00084E6B"/>
    <w:rsid w:val="000853FA"/>
    <w:rsid w:val="0008688C"/>
    <w:rsid w:val="00087211"/>
    <w:rsid w:val="0009027E"/>
    <w:rsid w:val="000911EB"/>
    <w:rsid w:val="00091957"/>
    <w:rsid w:val="00094282"/>
    <w:rsid w:val="00095C12"/>
    <w:rsid w:val="00096651"/>
    <w:rsid w:val="00097124"/>
    <w:rsid w:val="000978D2"/>
    <w:rsid w:val="000A00AB"/>
    <w:rsid w:val="000A0A41"/>
    <w:rsid w:val="000A17B6"/>
    <w:rsid w:val="000A2663"/>
    <w:rsid w:val="000A28E5"/>
    <w:rsid w:val="000A3084"/>
    <w:rsid w:val="000A3430"/>
    <w:rsid w:val="000A3489"/>
    <w:rsid w:val="000A4486"/>
    <w:rsid w:val="000A54E2"/>
    <w:rsid w:val="000A5A93"/>
    <w:rsid w:val="000A637F"/>
    <w:rsid w:val="000A656C"/>
    <w:rsid w:val="000A6BCB"/>
    <w:rsid w:val="000A6DE4"/>
    <w:rsid w:val="000A7182"/>
    <w:rsid w:val="000A75D6"/>
    <w:rsid w:val="000A7DC8"/>
    <w:rsid w:val="000B09E9"/>
    <w:rsid w:val="000B13CF"/>
    <w:rsid w:val="000B215B"/>
    <w:rsid w:val="000B2B45"/>
    <w:rsid w:val="000B2F20"/>
    <w:rsid w:val="000B4C14"/>
    <w:rsid w:val="000B58F9"/>
    <w:rsid w:val="000B716F"/>
    <w:rsid w:val="000C0145"/>
    <w:rsid w:val="000C08E5"/>
    <w:rsid w:val="000C0BCC"/>
    <w:rsid w:val="000C0C52"/>
    <w:rsid w:val="000C151F"/>
    <w:rsid w:val="000C1B22"/>
    <w:rsid w:val="000C300F"/>
    <w:rsid w:val="000C3573"/>
    <w:rsid w:val="000C44B1"/>
    <w:rsid w:val="000C48E5"/>
    <w:rsid w:val="000C49E3"/>
    <w:rsid w:val="000C4EB1"/>
    <w:rsid w:val="000C503A"/>
    <w:rsid w:val="000C5544"/>
    <w:rsid w:val="000C589D"/>
    <w:rsid w:val="000C5B1C"/>
    <w:rsid w:val="000D0CFC"/>
    <w:rsid w:val="000D1AB0"/>
    <w:rsid w:val="000D1CDF"/>
    <w:rsid w:val="000D25FE"/>
    <w:rsid w:val="000D47D6"/>
    <w:rsid w:val="000D67EF"/>
    <w:rsid w:val="000D6CB9"/>
    <w:rsid w:val="000D6D98"/>
    <w:rsid w:val="000D74DC"/>
    <w:rsid w:val="000D7AAD"/>
    <w:rsid w:val="000D7ED7"/>
    <w:rsid w:val="000E0613"/>
    <w:rsid w:val="000E0653"/>
    <w:rsid w:val="000E1B78"/>
    <w:rsid w:val="000E2252"/>
    <w:rsid w:val="000E2C6C"/>
    <w:rsid w:val="000E3A28"/>
    <w:rsid w:val="000E4029"/>
    <w:rsid w:val="000E46AE"/>
    <w:rsid w:val="000E7122"/>
    <w:rsid w:val="000E73E6"/>
    <w:rsid w:val="000F0270"/>
    <w:rsid w:val="000F0EA1"/>
    <w:rsid w:val="000F2007"/>
    <w:rsid w:val="000F2BD0"/>
    <w:rsid w:val="000F2D7A"/>
    <w:rsid w:val="000F5A7D"/>
    <w:rsid w:val="000F5BB0"/>
    <w:rsid w:val="000F761E"/>
    <w:rsid w:val="00100687"/>
    <w:rsid w:val="001010CA"/>
    <w:rsid w:val="001019D2"/>
    <w:rsid w:val="0010264D"/>
    <w:rsid w:val="00103CA2"/>
    <w:rsid w:val="00104E91"/>
    <w:rsid w:val="0010533E"/>
    <w:rsid w:val="0010584C"/>
    <w:rsid w:val="00106A4E"/>
    <w:rsid w:val="001075E1"/>
    <w:rsid w:val="00112154"/>
    <w:rsid w:val="001125E0"/>
    <w:rsid w:val="00112EDF"/>
    <w:rsid w:val="001143F1"/>
    <w:rsid w:val="00116422"/>
    <w:rsid w:val="00117B8A"/>
    <w:rsid w:val="00120B86"/>
    <w:rsid w:val="00122A99"/>
    <w:rsid w:val="00122ED8"/>
    <w:rsid w:val="00124803"/>
    <w:rsid w:val="00126D9E"/>
    <w:rsid w:val="001272CC"/>
    <w:rsid w:val="00130228"/>
    <w:rsid w:val="0013032D"/>
    <w:rsid w:val="00130816"/>
    <w:rsid w:val="00130B51"/>
    <w:rsid w:val="001316AE"/>
    <w:rsid w:val="0013181B"/>
    <w:rsid w:val="00131BC1"/>
    <w:rsid w:val="001329D2"/>
    <w:rsid w:val="00133E1A"/>
    <w:rsid w:val="00134D40"/>
    <w:rsid w:val="00134ED4"/>
    <w:rsid w:val="00136EB6"/>
    <w:rsid w:val="00140763"/>
    <w:rsid w:val="00140EBD"/>
    <w:rsid w:val="00140FA9"/>
    <w:rsid w:val="001420B1"/>
    <w:rsid w:val="0014510E"/>
    <w:rsid w:val="00145DB0"/>
    <w:rsid w:val="00146C42"/>
    <w:rsid w:val="00147DFE"/>
    <w:rsid w:val="001503D3"/>
    <w:rsid w:val="0015071A"/>
    <w:rsid w:val="00150CC4"/>
    <w:rsid w:val="00151386"/>
    <w:rsid w:val="00152CDC"/>
    <w:rsid w:val="0015399B"/>
    <w:rsid w:val="00154A06"/>
    <w:rsid w:val="001554A8"/>
    <w:rsid w:val="001563BC"/>
    <w:rsid w:val="001574CB"/>
    <w:rsid w:val="00157F0D"/>
    <w:rsid w:val="00163FC6"/>
    <w:rsid w:val="00164ADD"/>
    <w:rsid w:val="00164FC3"/>
    <w:rsid w:val="00165654"/>
    <w:rsid w:val="00165E50"/>
    <w:rsid w:val="0016665E"/>
    <w:rsid w:val="0016685F"/>
    <w:rsid w:val="00166E54"/>
    <w:rsid w:val="001673D2"/>
    <w:rsid w:val="001673EE"/>
    <w:rsid w:val="00167E73"/>
    <w:rsid w:val="001703C1"/>
    <w:rsid w:val="00171B01"/>
    <w:rsid w:val="00171FF9"/>
    <w:rsid w:val="00172DBD"/>
    <w:rsid w:val="0017422B"/>
    <w:rsid w:val="001751A7"/>
    <w:rsid w:val="00175F29"/>
    <w:rsid w:val="00176A84"/>
    <w:rsid w:val="00176DF7"/>
    <w:rsid w:val="00177B4D"/>
    <w:rsid w:val="0018036A"/>
    <w:rsid w:val="00180AE6"/>
    <w:rsid w:val="00180B35"/>
    <w:rsid w:val="00181EED"/>
    <w:rsid w:val="00182063"/>
    <w:rsid w:val="001821B8"/>
    <w:rsid w:val="0018225C"/>
    <w:rsid w:val="00182674"/>
    <w:rsid w:val="00182D50"/>
    <w:rsid w:val="001843F4"/>
    <w:rsid w:val="00184498"/>
    <w:rsid w:val="00185EC2"/>
    <w:rsid w:val="00185F02"/>
    <w:rsid w:val="00186104"/>
    <w:rsid w:val="00186890"/>
    <w:rsid w:val="00186C70"/>
    <w:rsid w:val="00187210"/>
    <w:rsid w:val="001876C3"/>
    <w:rsid w:val="001907CD"/>
    <w:rsid w:val="00191F54"/>
    <w:rsid w:val="0019412C"/>
    <w:rsid w:val="001A0274"/>
    <w:rsid w:val="001A0317"/>
    <w:rsid w:val="001A1BE0"/>
    <w:rsid w:val="001A209D"/>
    <w:rsid w:val="001A2183"/>
    <w:rsid w:val="001A31A3"/>
    <w:rsid w:val="001A369C"/>
    <w:rsid w:val="001A445A"/>
    <w:rsid w:val="001A47C4"/>
    <w:rsid w:val="001A4D87"/>
    <w:rsid w:val="001A5E39"/>
    <w:rsid w:val="001A6370"/>
    <w:rsid w:val="001A682D"/>
    <w:rsid w:val="001A68E9"/>
    <w:rsid w:val="001B0C12"/>
    <w:rsid w:val="001B1015"/>
    <w:rsid w:val="001B19E3"/>
    <w:rsid w:val="001B2FCD"/>
    <w:rsid w:val="001B4E3B"/>
    <w:rsid w:val="001B51BA"/>
    <w:rsid w:val="001B5A58"/>
    <w:rsid w:val="001B6088"/>
    <w:rsid w:val="001B6DFC"/>
    <w:rsid w:val="001B77D6"/>
    <w:rsid w:val="001C277F"/>
    <w:rsid w:val="001C34EC"/>
    <w:rsid w:val="001C3636"/>
    <w:rsid w:val="001C4FEE"/>
    <w:rsid w:val="001C54D1"/>
    <w:rsid w:val="001C5A28"/>
    <w:rsid w:val="001C5B8B"/>
    <w:rsid w:val="001C5C24"/>
    <w:rsid w:val="001C78B4"/>
    <w:rsid w:val="001C7A72"/>
    <w:rsid w:val="001C7D0B"/>
    <w:rsid w:val="001D172A"/>
    <w:rsid w:val="001D1A84"/>
    <w:rsid w:val="001D2B44"/>
    <w:rsid w:val="001D307A"/>
    <w:rsid w:val="001D3CB3"/>
    <w:rsid w:val="001D50C9"/>
    <w:rsid w:val="001D648E"/>
    <w:rsid w:val="001D652E"/>
    <w:rsid w:val="001D76F5"/>
    <w:rsid w:val="001D7F5D"/>
    <w:rsid w:val="001E0B3C"/>
    <w:rsid w:val="001E1094"/>
    <w:rsid w:val="001E125F"/>
    <w:rsid w:val="001E1361"/>
    <w:rsid w:val="001E20D3"/>
    <w:rsid w:val="001E2E9F"/>
    <w:rsid w:val="001E34A1"/>
    <w:rsid w:val="001E35F7"/>
    <w:rsid w:val="001E4AC4"/>
    <w:rsid w:val="001F044D"/>
    <w:rsid w:val="001F0914"/>
    <w:rsid w:val="001F0B9A"/>
    <w:rsid w:val="001F1932"/>
    <w:rsid w:val="001F251A"/>
    <w:rsid w:val="001F2F02"/>
    <w:rsid w:val="001F3FE1"/>
    <w:rsid w:val="001F50AA"/>
    <w:rsid w:val="001F5C57"/>
    <w:rsid w:val="001F7016"/>
    <w:rsid w:val="00200EBC"/>
    <w:rsid w:val="00201899"/>
    <w:rsid w:val="002046CE"/>
    <w:rsid w:val="00205775"/>
    <w:rsid w:val="00205C63"/>
    <w:rsid w:val="00206399"/>
    <w:rsid w:val="00206466"/>
    <w:rsid w:val="00206B62"/>
    <w:rsid w:val="00210567"/>
    <w:rsid w:val="002106E5"/>
    <w:rsid w:val="00210735"/>
    <w:rsid w:val="00210779"/>
    <w:rsid w:val="00211D4E"/>
    <w:rsid w:val="00213F35"/>
    <w:rsid w:val="00214516"/>
    <w:rsid w:val="00214BDF"/>
    <w:rsid w:val="00215804"/>
    <w:rsid w:val="00215A2B"/>
    <w:rsid w:val="00215AE9"/>
    <w:rsid w:val="00216F0D"/>
    <w:rsid w:val="00217A2E"/>
    <w:rsid w:val="00217EC2"/>
    <w:rsid w:val="0022055F"/>
    <w:rsid w:val="00220D49"/>
    <w:rsid w:val="0022288C"/>
    <w:rsid w:val="0022312B"/>
    <w:rsid w:val="0022394B"/>
    <w:rsid w:val="00223AF4"/>
    <w:rsid w:val="0022587A"/>
    <w:rsid w:val="00225910"/>
    <w:rsid w:val="00225BED"/>
    <w:rsid w:val="0022731E"/>
    <w:rsid w:val="00227928"/>
    <w:rsid w:val="00227CFB"/>
    <w:rsid w:val="00230046"/>
    <w:rsid w:val="002305CA"/>
    <w:rsid w:val="00230C25"/>
    <w:rsid w:val="002328CF"/>
    <w:rsid w:val="00232932"/>
    <w:rsid w:val="00232FA4"/>
    <w:rsid w:val="00234BD6"/>
    <w:rsid w:val="00234C06"/>
    <w:rsid w:val="00234DD4"/>
    <w:rsid w:val="00234FB7"/>
    <w:rsid w:val="0023754C"/>
    <w:rsid w:val="002375E1"/>
    <w:rsid w:val="00237AB6"/>
    <w:rsid w:val="00237CCF"/>
    <w:rsid w:val="00237E62"/>
    <w:rsid w:val="002401A9"/>
    <w:rsid w:val="00240E9F"/>
    <w:rsid w:val="00241351"/>
    <w:rsid w:val="00242ECA"/>
    <w:rsid w:val="00243621"/>
    <w:rsid w:val="002438B3"/>
    <w:rsid w:val="002448E9"/>
    <w:rsid w:val="00244B0E"/>
    <w:rsid w:val="002458F6"/>
    <w:rsid w:val="002465C5"/>
    <w:rsid w:val="00247AD9"/>
    <w:rsid w:val="002508D9"/>
    <w:rsid w:val="00251C08"/>
    <w:rsid w:val="00252988"/>
    <w:rsid w:val="00252E05"/>
    <w:rsid w:val="0025456F"/>
    <w:rsid w:val="002577F4"/>
    <w:rsid w:val="0026026B"/>
    <w:rsid w:val="00260F9D"/>
    <w:rsid w:val="00261188"/>
    <w:rsid w:val="00261D5A"/>
    <w:rsid w:val="00262BB1"/>
    <w:rsid w:val="00262E8F"/>
    <w:rsid w:val="00264567"/>
    <w:rsid w:val="00265348"/>
    <w:rsid w:val="00265855"/>
    <w:rsid w:val="00265DED"/>
    <w:rsid w:val="0026623D"/>
    <w:rsid w:val="0026630F"/>
    <w:rsid w:val="0026671C"/>
    <w:rsid w:val="00267082"/>
    <w:rsid w:val="002677F0"/>
    <w:rsid w:val="002678AD"/>
    <w:rsid w:val="00267D5B"/>
    <w:rsid w:val="0027056C"/>
    <w:rsid w:val="002708B6"/>
    <w:rsid w:val="0027184E"/>
    <w:rsid w:val="0027516A"/>
    <w:rsid w:val="002755A1"/>
    <w:rsid w:val="00276715"/>
    <w:rsid w:val="00276C41"/>
    <w:rsid w:val="00277C87"/>
    <w:rsid w:val="002800E8"/>
    <w:rsid w:val="0028090B"/>
    <w:rsid w:val="0028183B"/>
    <w:rsid w:val="00281E6C"/>
    <w:rsid w:val="00281F2F"/>
    <w:rsid w:val="0028234E"/>
    <w:rsid w:val="00284FE8"/>
    <w:rsid w:val="0028549A"/>
    <w:rsid w:val="0028661F"/>
    <w:rsid w:val="002870C8"/>
    <w:rsid w:val="00287C0A"/>
    <w:rsid w:val="00287CA0"/>
    <w:rsid w:val="00287EAD"/>
    <w:rsid w:val="00290897"/>
    <w:rsid w:val="0029105E"/>
    <w:rsid w:val="002919A1"/>
    <w:rsid w:val="00294B33"/>
    <w:rsid w:val="0029648F"/>
    <w:rsid w:val="00297917"/>
    <w:rsid w:val="002A0A5F"/>
    <w:rsid w:val="002A0B27"/>
    <w:rsid w:val="002A0F40"/>
    <w:rsid w:val="002A26D8"/>
    <w:rsid w:val="002A2D80"/>
    <w:rsid w:val="002A2FAF"/>
    <w:rsid w:val="002A48FD"/>
    <w:rsid w:val="002A6220"/>
    <w:rsid w:val="002A669B"/>
    <w:rsid w:val="002A7712"/>
    <w:rsid w:val="002A7A8A"/>
    <w:rsid w:val="002A7A9F"/>
    <w:rsid w:val="002B143B"/>
    <w:rsid w:val="002B1871"/>
    <w:rsid w:val="002B2532"/>
    <w:rsid w:val="002B2E65"/>
    <w:rsid w:val="002B5BAB"/>
    <w:rsid w:val="002B6C2B"/>
    <w:rsid w:val="002B73DC"/>
    <w:rsid w:val="002C1816"/>
    <w:rsid w:val="002C275C"/>
    <w:rsid w:val="002C30CE"/>
    <w:rsid w:val="002C4052"/>
    <w:rsid w:val="002C4279"/>
    <w:rsid w:val="002D086B"/>
    <w:rsid w:val="002D1689"/>
    <w:rsid w:val="002D18BE"/>
    <w:rsid w:val="002D3361"/>
    <w:rsid w:val="002D384F"/>
    <w:rsid w:val="002D3D79"/>
    <w:rsid w:val="002D6C2A"/>
    <w:rsid w:val="002D737E"/>
    <w:rsid w:val="002E02EE"/>
    <w:rsid w:val="002E0371"/>
    <w:rsid w:val="002E0BB8"/>
    <w:rsid w:val="002E1A29"/>
    <w:rsid w:val="002E1ABA"/>
    <w:rsid w:val="002E203E"/>
    <w:rsid w:val="002E2D94"/>
    <w:rsid w:val="002E3DD4"/>
    <w:rsid w:val="002E47C4"/>
    <w:rsid w:val="002E4C49"/>
    <w:rsid w:val="002E4E8E"/>
    <w:rsid w:val="002E5294"/>
    <w:rsid w:val="002E6A78"/>
    <w:rsid w:val="002E7075"/>
    <w:rsid w:val="002E725F"/>
    <w:rsid w:val="002E7791"/>
    <w:rsid w:val="002F150F"/>
    <w:rsid w:val="002F1805"/>
    <w:rsid w:val="002F1995"/>
    <w:rsid w:val="002F26A1"/>
    <w:rsid w:val="002F2D76"/>
    <w:rsid w:val="002F3AB0"/>
    <w:rsid w:val="002F413D"/>
    <w:rsid w:val="002F428F"/>
    <w:rsid w:val="002F5045"/>
    <w:rsid w:val="002F51E7"/>
    <w:rsid w:val="002F59D8"/>
    <w:rsid w:val="002F76F0"/>
    <w:rsid w:val="00300E0F"/>
    <w:rsid w:val="00301EF9"/>
    <w:rsid w:val="00302080"/>
    <w:rsid w:val="003020B5"/>
    <w:rsid w:val="00302F74"/>
    <w:rsid w:val="00303055"/>
    <w:rsid w:val="003033A3"/>
    <w:rsid w:val="0030385D"/>
    <w:rsid w:val="00303C2D"/>
    <w:rsid w:val="00303F79"/>
    <w:rsid w:val="003048B3"/>
    <w:rsid w:val="00304A0C"/>
    <w:rsid w:val="0030501A"/>
    <w:rsid w:val="00305368"/>
    <w:rsid w:val="00306817"/>
    <w:rsid w:val="003076A5"/>
    <w:rsid w:val="003078CC"/>
    <w:rsid w:val="0031073E"/>
    <w:rsid w:val="00311745"/>
    <w:rsid w:val="00311FEF"/>
    <w:rsid w:val="00312880"/>
    <w:rsid w:val="00313787"/>
    <w:rsid w:val="00313F38"/>
    <w:rsid w:val="003157FB"/>
    <w:rsid w:val="003166D3"/>
    <w:rsid w:val="003168EE"/>
    <w:rsid w:val="0031702E"/>
    <w:rsid w:val="003179C7"/>
    <w:rsid w:val="00320629"/>
    <w:rsid w:val="0032092B"/>
    <w:rsid w:val="003224E4"/>
    <w:rsid w:val="00323827"/>
    <w:rsid w:val="00324CCA"/>
    <w:rsid w:val="003258EA"/>
    <w:rsid w:val="00325C18"/>
    <w:rsid w:val="0032775D"/>
    <w:rsid w:val="0033022F"/>
    <w:rsid w:val="00330DAC"/>
    <w:rsid w:val="003312E9"/>
    <w:rsid w:val="00333D70"/>
    <w:rsid w:val="00333F2B"/>
    <w:rsid w:val="003346C4"/>
    <w:rsid w:val="003349B6"/>
    <w:rsid w:val="00334DA5"/>
    <w:rsid w:val="00335545"/>
    <w:rsid w:val="00335CE0"/>
    <w:rsid w:val="003371BE"/>
    <w:rsid w:val="003373A0"/>
    <w:rsid w:val="003401CD"/>
    <w:rsid w:val="0034087F"/>
    <w:rsid w:val="00341D70"/>
    <w:rsid w:val="0034229B"/>
    <w:rsid w:val="003429D3"/>
    <w:rsid w:val="00342A81"/>
    <w:rsid w:val="00343A8A"/>
    <w:rsid w:val="00345AB4"/>
    <w:rsid w:val="00346C9C"/>
    <w:rsid w:val="00347A92"/>
    <w:rsid w:val="003507F5"/>
    <w:rsid w:val="00350C32"/>
    <w:rsid w:val="00351FE4"/>
    <w:rsid w:val="00352320"/>
    <w:rsid w:val="0035257D"/>
    <w:rsid w:val="00353954"/>
    <w:rsid w:val="00353C4D"/>
    <w:rsid w:val="003541AE"/>
    <w:rsid w:val="0035479E"/>
    <w:rsid w:val="003548F1"/>
    <w:rsid w:val="003562EB"/>
    <w:rsid w:val="00356E84"/>
    <w:rsid w:val="00357D62"/>
    <w:rsid w:val="0036063A"/>
    <w:rsid w:val="00360A3E"/>
    <w:rsid w:val="00360B9D"/>
    <w:rsid w:val="0036130F"/>
    <w:rsid w:val="0036167B"/>
    <w:rsid w:val="00361684"/>
    <w:rsid w:val="003645AF"/>
    <w:rsid w:val="00364B71"/>
    <w:rsid w:val="00365B7E"/>
    <w:rsid w:val="00365F2D"/>
    <w:rsid w:val="0036642F"/>
    <w:rsid w:val="00366761"/>
    <w:rsid w:val="003670FA"/>
    <w:rsid w:val="003679E4"/>
    <w:rsid w:val="00367A9B"/>
    <w:rsid w:val="00370524"/>
    <w:rsid w:val="00370C6A"/>
    <w:rsid w:val="00371C2E"/>
    <w:rsid w:val="00372B46"/>
    <w:rsid w:val="0037375D"/>
    <w:rsid w:val="00374FED"/>
    <w:rsid w:val="00375107"/>
    <w:rsid w:val="00375573"/>
    <w:rsid w:val="003759A0"/>
    <w:rsid w:val="00375B6D"/>
    <w:rsid w:val="00375C10"/>
    <w:rsid w:val="00376A15"/>
    <w:rsid w:val="003773EB"/>
    <w:rsid w:val="00380A14"/>
    <w:rsid w:val="00381665"/>
    <w:rsid w:val="003823BC"/>
    <w:rsid w:val="003832BE"/>
    <w:rsid w:val="0038369A"/>
    <w:rsid w:val="0038396D"/>
    <w:rsid w:val="00383EE5"/>
    <w:rsid w:val="003848E0"/>
    <w:rsid w:val="00384CBD"/>
    <w:rsid w:val="00384FC5"/>
    <w:rsid w:val="0038525B"/>
    <w:rsid w:val="0038632F"/>
    <w:rsid w:val="00386409"/>
    <w:rsid w:val="0038661C"/>
    <w:rsid w:val="00386ACF"/>
    <w:rsid w:val="003874F2"/>
    <w:rsid w:val="003879C0"/>
    <w:rsid w:val="00387AE0"/>
    <w:rsid w:val="00387DA8"/>
    <w:rsid w:val="00391B2F"/>
    <w:rsid w:val="0039274A"/>
    <w:rsid w:val="003933C9"/>
    <w:rsid w:val="00394ACA"/>
    <w:rsid w:val="0039530C"/>
    <w:rsid w:val="003953D8"/>
    <w:rsid w:val="00395D67"/>
    <w:rsid w:val="00396E06"/>
    <w:rsid w:val="00397958"/>
    <w:rsid w:val="00397F67"/>
    <w:rsid w:val="003A0949"/>
    <w:rsid w:val="003A0DFE"/>
    <w:rsid w:val="003A0F5F"/>
    <w:rsid w:val="003A28FF"/>
    <w:rsid w:val="003A2E0F"/>
    <w:rsid w:val="003A2F6A"/>
    <w:rsid w:val="003A3944"/>
    <w:rsid w:val="003A3ED4"/>
    <w:rsid w:val="003A45E3"/>
    <w:rsid w:val="003A4F1C"/>
    <w:rsid w:val="003A6AAD"/>
    <w:rsid w:val="003A6CD0"/>
    <w:rsid w:val="003A787B"/>
    <w:rsid w:val="003B0244"/>
    <w:rsid w:val="003B040E"/>
    <w:rsid w:val="003B0ED2"/>
    <w:rsid w:val="003B37FF"/>
    <w:rsid w:val="003B3FE2"/>
    <w:rsid w:val="003B47A6"/>
    <w:rsid w:val="003B4F6D"/>
    <w:rsid w:val="003B662F"/>
    <w:rsid w:val="003B6FBA"/>
    <w:rsid w:val="003C2486"/>
    <w:rsid w:val="003C2E48"/>
    <w:rsid w:val="003C344D"/>
    <w:rsid w:val="003C5D48"/>
    <w:rsid w:val="003C6884"/>
    <w:rsid w:val="003C7929"/>
    <w:rsid w:val="003D136A"/>
    <w:rsid w:val="003D34A6"/>
    <w:rsid w:val="003D3E14"/>
    <w:rsid w:val="003D5963"/>
    <w:rsid w:val="003D5D39"/>
    <w:rsid w:val="003D6E2F"/>
    <w:rsid w:val="003D6F18"/>
    <w:rsid w:val="003D7DD3"/>
    <w:rsid w:val="003E0576"/>
    <w:rsid w:val="003E0931"/>
    <w:rsid w:val="003E0BA4"/>
    <w:rsid w:val="003E116A"/>
    <w:rsid w:val="003E1353"/>
    <w:rsid w:val="003E36D7"/>
    <w:rsid w:val="003E3C0B"/>
    <w:rsid w:val="003E4252"/>
    <w:rsid w:val="003E43FB"/>
    <w:rsid w:val="003E497E"/>
    <w:rsid w:val="003E4BEB"/>
    <w:rsid w:val="003E5D43"/>
    <w:rsid w:val="003E6DEC"/>
    <w:rsid w:val="003E704E"/>
    <w:rsid w:val="003F04A8"/>
    <w:rsid w:val="003F04BF"/>
    <w:rsid w:val="003F1067"/>
    <w:rsid w:val="003F1D27"/>
    <w:rsid w:val="003F4481"/>
    <w:rsid w:val="003F5972"/>
    <w:rsid w:val="003F6407"/>
    <w:rsid w:val="003F64F4"/>
    <w:rsid w:val="003F6A6C"/>
    <w:rsid w:val="003F7AB8"/>
    <w:rsid w:val="00400114"/>
    <w:rsid w:val="00400273"/>
    <w:rsid w:val="0040042C"/>
    <w:rsid w:val="00400E85"/>
    <w:rsid w:val="004016B5"/>
    <w:rsid w:val="004025CE"/>
    <w:rsid w:val="00402A63"/>
    <w:rsid w:val="00402AEF"/>
    <w:rsid w:val="004030FD"/>
    <w:rsid w:val="00403E05"/>
    <w:rsid w:val="00404A3F"/>
    <w:rsid w:val="00404B74"/>
    <w:rsid w:val="00404C80"/>
    <w:rsid w:val="00404FCE"/>
    <w:rsid w:val="00405804"/>
    <w:rsid w:val="004067EE"/>
    <w:rsid w:val="00410DA0"/>
    <w:rsid w:val="00411DA4"/>
    <w:rsid w:val="00411DEA"/>
    <w:rsid w:val="004121F7"/>
    <w:rsid w:val="00412589"/>
    <w:rsid w:val="004128D6"/>
    <w:rsid w:val="00413960"/>
    <w:rsid w:val="004139A1"/>
    <w:rsid w:val="00413BA4"/>
    <w:rsid w:val="00413F15"/>
    <w:rsid w:val="004145D5"/>
    <w:rsid w:val="00414BCD"/>
    <w:rsid w:val="00415370"/>
    <w:rsid w:val="00416C8F"/>
    <w:rsid w:val="00416FF4"/>
    <w:rsid w:val="004171BA"/>
    <w:rsid w:val="004176EB"/>
    <w:rsid w:val="00417C7D"/>
    <w:rsid w:val="00420979"/>
    <w:rsid w:val="00420A77"/>
    <w:rsid w:val="00420EA3"/>
    <w:rsid w:val="00420FD7"/>
    <w:rsid w:val="004228E5"/>
    <w:rsid w:val="00422A51"/>
    <w:rsid w:val="00423BEF"/>
    <w:rsid w:val="00423E1B"/>
    <w:rsid w:val="0042407C"/>
    <w:rsid w:val="004243B9"/>
    <w:rsid w:val="004244A2"/>
    <w:rsid w:val="00425033"/>
    <w:rsid w:val="004253E4"/>
    <w:rsid w:val="0042573D"/>
    <w:rsid w:val="00427118"/>
    <w:rsid w:val="0043013B"/>
    <w:rsid w:val="004322F9"/>
    <w:rsid w:val="00432337"/>
    <w:rsid w:val="004327EA"/>
    <w:rsid w:val="00433101"/>
    <w:rsid w:val="00433B0F"/>
    <w:rsid w:val="004344EA"/>
    <w:rsid w:val="00434508"/>
    <w:rsid w:val="0043549A"/>
    <w:rsid w:val="004355D3"/>
    <w:rsid w:val="004356E3"/>
    <w:rsid w:val="0043639E"/>
    <w:rsid w:val="004371E1"/>
    <w:rsid w:val="004375D4"/>
    <w:rsid w:val="004400AB"/>
    <w:rsid w:val="0044017F"/>
    <w:rsid w:val="00440205"/>
    <w:rsid w:val="0044098C"/>
    <w:rsid w:val="004411D9"/>
    <w:rsid w:val="00441C9D"/>
    <w:rsid w:val="004432BF"/>
    <w:rsid w:val="004437A5"/>
    <w:rsid w:val="00443B69"/>
    <w:rsid w:val="00444E18"/>
    <w:rsid w:val="0044548B"/>
    <w:rsid w:val="00445DAF"/>
    <w:rsid w:val="00445E13"/>
    <w:rsid w:val="004475C4"/>
    <w:rsid w:val="004479E4"/>
    <w:rsid w:val="00447E03"/>
    <w:rsid w:val="00451772"/>
    <w:rsid w:val="004521D1"/>
    <w:rsid w:val="0045409D"/>
    <w:rsid w:val="0045570B"/>
    <w:rsid w:val="00456A9C"/>
    <w:rsid w:val="004571D7"/>
    <w:rsid w:val="004573B2"/>
    <w:rsid w:val="004574F3"/>
    <w:rsid w:val="00460639"/>
    <w:rsid w:val="00460D19"/>
    <w:rsid w:val="00461161"/>
    <w:rsid w:val="004618FA"/>
    <w:rsid w:val="00465079"/>
    <w:rsid w:val="0046514C"/>
    <w:rsid w:val="00465592"/>
    <w:rsid w:val="004675DF"/>
    <w:rsid w:val="0047018C"/>
    <w:rsid w:val="00470A8C"/>
    <w:rsid w:val="0047227B"/>
    <w:rsid w:val="00473739"/>
    <w:rsid w:val="00473B38"/>
    <w:rsid w:val="004753D6"/>
    <w:rsid w:val="00475AA4"/>
    <w:rsid w:val="00476E90"/>
    <w:rsid w:val="00477416"/>
    <w:rsid w:val="004778F2"/>
    <w:rsid w:val="00477C69"/>
    <w:rsid w:val="00477E36"/>
    <w:rsid w:val="00477FE3"/>
    <w:rsid w:val="004801E6"/>
    <w:rsid w:val="00481E30"/>
    <w:rsid w:val="00482554"/>
    <w:rsid w:val="004835A0"/>
    <w:rsid w:val="00483635"/>
    <w:rsid w:val="004845D8"/>
    <w:rsid w:val="00484C3A"/>
    <w:rsid w:val="00485679"/>
    <w:rsid w:val="004862E1"/>
    <w:rsid w:val="00486390"/>
    <w:rsid w:val="00487D25"/>
    <w:rsid w:val="00490B1E"/>
    <w:rsid w:val="00490DE6"/>
    <w:rsid w:val="004920AC"/>
    <w:rsid w:val="0049296C"/>
    <w:rsid w:val="00492B8C"/>
    <w:rsid w:val="00493748"/>
    <w:rsid w:val="00493EE0"/>
    <w:rsid w:val="00493F16"/>
    <w:rsid w:val="00494684"/>
    <w:rsid w:val="00494B2F"/>
    <w:rsid w:val="00495542"/>
    <w:rsid w:val="00495B0E"/>
    <w:rsid w:val="004A1116"/>
    <w:rsid w:val="004A1B71"/>
    <w:rsid w:val="004A1BE7"/>
    <w:rsid w:val="004A364A"/>
    <w:rsid w:val="004A3D6D"/>
    <w:rsid w:val="004A4A28"/>
    <w:rsid w:val="004A4AC3"/>
    <w:rsid w:val="004A53EA"/>
    <w:rsid w:val="004A5A08"/>
    <w:rsid w:val="004A5FED"/>
    <w:rsid w:val="004A6A23"/>
    <w:rsid w:val="004A6B35"/>
    <w:rsid w:val="004A6FF5"/>
    <w:rsid w:val="004A7C65"/>
    <w:rsid w:val="004B001F"/>
    <w:rsid w:val="004B02D1"/>
    <w:rsid w:val="004B0456"/>
    <w:rsid w:val="004B04E1"/>
    <w:rsid w:val="004B0DE6"/>
    <w:rsid w:val="004B23C0"/>
    <w:rsid w:val="004B2B38"/>
    <w:rsid w:val="004B32A3"/>
    <w:rsid w:val="004B38BE"/>
    <w:rsid w:val="004B3D19"/>
    <w:rsid w:val="004B41C2"/>
    <w:rsid w:val="004B56BD"/>
    <w:rsid w:val="004B6247"/>
    <w:rsid w:val="004B6633"/>
    <w:rsid w:val="004C053C"/>
    <w:rsid w:val="004C095A"/>
    <w:rsid w:val="004C0E71"/>
    <w:rsid w:val="004C25F4"/>
    <w:rsid w:val="004C3B9F"/>
    <w:rsid w:val="004C3E22"/>
    <w:rsid w:val="004C47ED"/>
    <w:rsid w:val="004C4E48"/>
    <w:rsid w:val="004C4E4C"/>
    <w:rsid w:val="004C608A"/>
    <w:rsid w:val="004C6692"/>
    <w:rsid w:val="004C69DC"/>
    <w:rsid w:val="004C6F25"/>
    <w:rsid w:val="004C7576"/>
    <w:rsid w:val="004D020C"/>
    <w:rsid w:val="004D03AD"/>
    <w:rsid w:val="004D0DAF"/>
    <w:rsid w:val="004D0ED6"/>
    <w:rsid w:val="004D1A60"/>
    <w:rsid w:val="004D1C4C"/>
    <w:rsid w:val="004D1C97"/>
    <w:rsid w:val="004D2FBF"/>
    <w:rsid w:val="004D3E95"/>
    <w:rsid w:val="004D4580"/>
    <w:rsid w:val="004D4988"/>
    <w:rsid w:val="004D5FB2"/>
    <w:rsid w:val="004D6490"/>
    <w:rsid w:val="004D688D"/>
    <w:rsid w:val="004D6BBE"/>
    <w:rsid w:val="004E246A"/>
    <w:rsid w:val="004E391C"/>
    <w:rsid w:val="004E415F"/>
    <w:rsid w:val="004E4EF5"/>
    <w:rsid w:val="004E54E3"/>
    <w:rsid w:val="004E6716"/>
    <w:rsid w:val="004E7063"/>
    <w:rsid w:val="004F01F1"/>
    <w:rsid w:val="004F027F"/>
    <w:rsid w:val="004F0F91"/>
    <w:rsid w:val="004F20B1"/>
    <w:rsid w:val="004F4FB2"/>
    <w:rsid w:val="004F6968"/>
    <w:rsid w:val="004F6AFF"/>
    <w:rsid w:val="004F70CB"/>
    <w:rsid w:val="004F7E87"/>
    <w:rsid w:val="005000C4"/>
    <w:rsid w:val="00500A48"/>
    <w:rsid w:val="00500C86"/>
    <w:rsid w:val="00500E17"/>
    <w:rsid w:val="00502D86"/>
    <w:rsid w:val="005031A1"/>
    <w:rsid w:val="00503ACC"/>
    <w:rsid w:val="00506C52"/>
    <w:rsid w:val="005075DE"/>
    <w:rsid w:val="00507C66"/>
    <w:rsid w:val="0051014F"/>
    <w:rsid w:val="0051020D"/>
    <w:rsid w:val="00510C56"/>
    <w:rsid w:val="00511160"/>
    <w:rsid w:val="00511607"/>
    <w:rsid w:val="0051179F"/>
    <w:rsid w:val="00511890"/>
    <w:rsid w:val="00512927"/>
    <w:rsid w:val="0051351F"/>
    <w:rsid w:val="00513730"/>
    <w:rsid w:val="00513CBB"/>
    <w:rsid w:val="005142E4"/>
    <w:rsid w:val="00514C05"/>
    <w:rsid w:val="00515082"/>
    <w:rsid w:val="00515272"/>
    <w:rsid w:val="005158A4"/>
    <w:rsid w:val="005165A1"/>
    <w:rsid w:val="005166D7"/>
    <w:rsid w:val="00516CCD"/>
    <w:rsid w:val="00517518"/>
    <w:rsid w:val="00517FC3"/>
    <w:rsid w:val="00520B7B"/>
    <w:rsid w:val="00520F97"/>
    <w:rsid w:val="0052167B"/>
    <w:rsid w:val="005224ED"/>
    <w:rsid w:val="005228B2"/>
    <w:rsid w:val="005231D7"/>
    <w:rsid w:val="005232E5"/>
    <w:rsid w:val="005235B3"/>
    <w:rsid w:val="005247E4"/>
    <w:rsid w:val="0052524E"/>
    <w:rsid w:val="005255CF"/>
    <w:rsid w:val="00525986"/>
    <w:rsid w:val="00525A69"/>
    <w:rsid w:val="00526B54"/>
    <w:rsid w:val="00526DA7"/>
    <w:rsid w:val="00526DB1"/>
    <w:rsid w:val="00526F0E"/>
    <w:rsid w:val="00527157"/>
    <w:rsid w:val="005279F2"/>
    <w:rsid w:val="00530301"/>
    <w:rsid w:val="00531B74"/>
    <w:rsid w:val="00533EFF"/>
    <w:rsid w:val="0053454E"/>
    <w:rsid w:val="00534A81"/>
    <w:rsid w:val="00534C2D"/>
    <w:rsid w:val="005372D7"/>
    <w:rsid w:val="005373F4"/>
    <w:rsid w:val="00537FCD"/>
    <w:rsid w:val="005401BA"/>
    <w:rsid w:val="00541035"/>
    <w:rsid w:val="00541538"/>
    <w:rsid w:val="005425FD"/>
    <w:rsid w:val="005431E5"/>
    <w:rsid w:val="0054362C"/>
    <w:rsid w:val="00544F4F"/>
    <w:rsid w:val="0054502D"/>
    <w:rsid w:val="005455C0"/>
    <w:rsid w:val="005457D9"/>
    <w:rsid w:val="00546D13"/>
    <w:rsid w:val="00547406"/>
    <w:rsid w:val="0055120F"/>
    <w:rsid w:val="00552CD4"/>
    <w:rsid w:val="00552E4F"/>
    <w:rsid w:val="00553E28"/>
    <w:rsid w:val="0055411A"/>
    <w:rsid w:val="005552F0"/>
    <w:rsid w:val="00555969"/>
    <w:rsid w:val="00557332"/>
    <w:rsid w:val="00557339"/>
    <w:rsid w:val="005573BF"/>
    <w:rsid w:val="0056029A"/>
    <w:rsid w:val="0056061C"/>
    <w:rsid w:val="005615FC"/>
    <w:rsid w:val="00564456"/>
    <w:rsid w:val="00564CC8"/>
    <w:rsid w:val="00565ABC"/>
    <w:rsid w:val="00566638"/>
    <w:rsid w:val="005670E7"/>
    <w:rsid w:val="005678A8"/>
    <w:rsid w:val="0057033F"/>
    <w:rsid w:val="00570527"/>
    <w:rsid w:val="00571098"/>
    <w:rsid w:val="00571981"/>
    <w:rsid w:val="00571C8A"/>
    <w:rsid w:val="00572349"/>
    <w:rsid w:val="00572654"/>
    <w:rsid w:val="00573BD1"/>
    <w:rsid w:val="0057493D"/>
    <w:rsid w:val="00574DA8"/>
    <w:rsid w:val="005756FC"/>
    <w:rsid w:val="0057599D"/>
    <w:rsid w:val="00576ECD"/>
    <w:rsid w:val="00577037"/>
    <w:rsid w:val="00577216"/>
    <w:rsid w:val="00577284"/>
    <w:rsid w:val="00577D7E"/>
    <w:rsid w:val="00577ECF"/>
    <w:rsid w:val="00580079"/>
    <w:rsid w:val="00580FB6"/>
    <w:rsid w:val="00581013"/>
    <w:rsid w:val="00582724"/>
    <w:rsid w:val="00583726"/>
    <w:rsid w:val="00583FF9"/>
    <w:rsid w:val="0058419C"/>
    <w:rsid w:val="005843E0"/>
    <w:rsid w:val="005855ED"/>
    <w:rsid w:val="00585FD6"/>
    <w:rsid w:val="005864E5"/>
    <w:rsid w:val="005866E4"/>
    <w:rsid w:val="00587C09"/>
    <w:rsid w:val="00587CBD"/>
    <w:rsid w:val="00591A31"/>
    <w:rsid w:val="00591E8A"/>
    <w:rsid w:val="0059203E"/>
    <w:rsid w:val="00592128"/>
    <w:rsid w:val="005943FF"/>
    <w:rsid w:val="005945DD"/>
    <w:rsid w:val="00595240"/>
    <w:rsid w:val="00596AC3"/>
    <w:rsid w:val="005A01F3"/>
    <w:rsid w:val="005A0D66"/>
    <w:rsid w:val="005A112D"/>
    <w:rsid w:val="005A30EB"/>
    <w:rsid w:val="005A35FF"/>
    <w:rsid w:val="005A4F5F"/>
    <w:rsid w:val="005A5598"/>
    <w:rsid w:val="005A7016"/>
    <w:rsid w:val="005A7391"/>
    <w:rsid w:val="005A7EE1"/>
    <w:rsid w:val="005B0DC6"/>
    <w:rsid w:val="005B213C"/>
    <w:rsid w:val="005B2338"/>
    <w:rsid w:val="005B245E"/>
    <w:rsid w:val="005B30C6"/>
    <w:rsid w:val="005B313B"/>
    <w:rsid w:val="005B367A"/>
    <w:rsid w:val="005B5444"/>
    <w:rsid w:val="005B5466"/>
    <w:rsid w:val="005B609F"/>
    <w:rsid w:val="005B6C6C"/>
    <w:rsid w:val="005C3F9F"/>
    <w:rsid w:val="005C4AB5"/>
    <w:rsid w:val="005C5E14"/>
    <w:rsid w:val="005C6324"/>
    <w:rsid w:val="005C6E31"/>
    <w:rsid w:val="005C6F20"/>
    <w:rsid w:val="005C77A0"/>
    <w:rsid w:val="005D0216"/>
    <w:rsid w:val="005D0824"/>
    <w:rsid w:val="005D0BA8"/>
    <w:rsid w:val="005D0C64"/>
    <w:rsid w:val="005D0CC5"/>
    <w:rsid w:val="005D1D96"/>
    <w:rsid w:val="005D21FD"/>
    <w:rsid w:val="005D3154"/>
    <w:rsid w:val="005D31B1"/>
    <w:rsid w:val="005D4613"/>
    <w:rsid w:val="005D508F"/>
    <w:rsid w:val="005D640F"/>
    <w:rsid w:val="005D7C7F"/>
    <w:rsid w:val="005E2A24"/>
    <w:rsid w:val="005E2AE0"/>
    <w:rsid w:val="005E2C54"/>
    <w:rsid w:val="005E3411"/>
    <w:rsid w:val="005E40CD"/>
    <w:rsid w:val="005E42D7"/>
    <w:rsid w:val="005E4739"/>
    <w:rsid w:val="005E4894"/>
    <w:rsid w:val="005E4935"/>
    <w:rsid w:val="005E4E05"/>
    <w:rsid w:val="005E534A"/>
    <w:rsid w:val="005E6691"/>
    <w:rsid w:val="005E77F3"/>
    <w:rsid w:val="005F009C"/>
    <w:rsid w:val="005F11C7"/>
    <w:rsid w:val="005F141C"/>
    <w:rsid w:val="005F5129"/>
    <w:rsid w:val="005F6D46"/>
    <w:rsid w:val="005F7765"/>
    <w:rsid w:val="005F7C1B"/>
    <w:rsid w:val="00600009"/>
    <w:rsid w:val="006000F1"/>
    <w:rsid w:val="00600152"/>
    <w:rsid w:val="00600E60"/>
    <w:rsid w:val="00602B34"/>
    <w:rsid w:val="006031D1"/>
    <w:rsid w:val="00603474"/>
    <w:rsid w:val="0060372F"/>
    <w:rsid w:val="00603A41"/>
    <w:rsid w:val="00606D36"/>
    <w:rsid w:val="006106DB"/>
    <w:rsid w:val="006114D4"/>
    <w:rsid w:val="00612CF5"/>
    <w:rsid w:val="006132A5"/>
    <w:rsid w:val="00613DB3"/>
    <w:rsid w:val="006147EC"/>
    <w:rsid w:val="00616C4B"/>
    <w:rsid w:val="006177B2"/>
    <w:rsid w:val="00620298"/>
    <w:rsid w:val="00621610"/>
    <w:rsid w:val="00621D61"/>
    <w:rsid w:val="00622400"/>
    <w:rsid w:val="00622833"/>
    <w:rsid w:val="006228B3"/>
    <w:rsid w:val="00622B26"/>
    <w:rsid w:val="006232C3"/>
    <w:rsid w:val="006236D0"/>
    <w:rsid w:val="006247FE"/>
    <w:rsid w:val="00626B93"/>
    <w:rsid w:val="006271FB"/>
    <w:rsid w:val="006310DC"/>
    <w:rsid w:val="0063116E"/>
    <w:rsid w:val="00631855"/>
    <w:rsid w:val="00632E37"/>
    <w:rsid w:val="006333C5"/>
    <w:rsid w:val="0063362B"/>
    <w:rsid w:val="006345FF"/>
    <w:rsid w:val="00634D96"/>
    <w:rsid w:val="00634E4D"/>
    <w:rsid w:val="0063510B"/>
    <w:rsid w:val="00635693"/>
    <w:rsid w:val="00635958"/>
    <w:rsid w:val="006379E2"/>
    <w:rsid w:val="00637C91"/>
    <w:rsid w:val="0064059E"/>
    <w:rsid w:val="0064150F"/>
    <w:rsid w:val="006433C0"/>
    <w:rsid w:val="00643796"/>
    <w:rsid w:val="00643878"/>
    <w:rsid w:val="00643D69"/>
    <w:rsid w:val="00644AA8"/>
    <w:rsid w:val="00645CC4"/>
    <w:rsid w:val="006463DC"/>
    <w:rsid w:val="006477C9"/>
    <w:rsid w:val="00647C15"/>
    <w:rsid w:val="00650317"/>
    <w:rsid w:val="00650D61"/>
    <w:rsid w:val="006540A7"/>
    <w:rsid w:val="0065446F"/>
    <w:rsid w:val="006555F7"/>
    <w:rsid w:val="00655F0D"/>
    <w:rsid w:val="00656C0A"/>
    <w:rsid w:val="006572F6"/>
    <w:rsid w:val="006573DD"/>
    <w:rsid w:val="006608E8"/>
    <w:rsid w:val="0066176E"/>
    <w:rsid w:val="00661949"/>
    <w:rsid w:val="006619E2"/>
    <w:rsid w:val="0066267A"/>
    <w:rsid w:val="00663063"/>
    <w:rsid w:val="0066413E"/>
    <w:rsid w:val="0066424D"/>
    <w:rsid w:val="00664554"/>
    <w:rsid w:val="006653A6"/>
    <w:rsid w:val="00665689"/>
    <w:rsid w:val="00665C08"/>
    <w:rsid w:val="0066732D"/>
    <w:rsid w:val="00667505"/>
    <w:rsid w:val="0067002E"/>
    <w:rsid w:val="006701A0"/>
    <w:rsid w:val="00670A6A"/>
    <w:rsid w:val="00670D19"/>
    <w:rsid w:val="0067112A"/>
    <w:rsid w:val="0067139A"/>
    <w:rsid w:val="00671724"/>
    <w:rsid w:val="0067183F"/>
    <w:rsid w:val="0067216E"/>
    <w:rsid w:val="0067280F"/>
    <w:rsid w:val="00673B69"/>
    <w:rsid w:val="00680085"/>
    <w:rsid w:val="00680206"/>
    <w:rsid w:val="00680DB9"/>
    <w:rsid w:val="00682499"/>
    <w:rsid w:val="00683653"/>
    <w:rsid w:val="00683B18"/>
    <w:rsid w:val="0068490B"/>
    <w:rsid w:val="00684A47"/>
    <w:rsid w:val="00684ED1"/>
    <w:rsid w:val="0068590E"/>
    <w:rsid w:val="00686758"/>
    <w:rsid w:val="00687052"/>
    <w:rsid w:val="006906F8"/>
    <w:rsid w:val="00691370"/>
    <w:rsid w:val="00691B37"/>
    <w:rsid w:val="00691D74"/>
    <w:rsid w:val="00691FB0"/>
    <w:rsid w:val="006928D3"/>
    <w:rsid w:val="006930AB"/>
    <w:rsid w:val="00694BE7"/>
    <w:rsid w:val="0069601C"/>
    <w:rsid w:val="0069607E"/>
    <w:rsid w:val="00696843"/>
    <w:rsid w:val="006A03C8"/>
    <w:rsid w:val="006A08AD"/>
    <w:rsid w:val="006A0A80"/>
    <w:rsid w:val="006A1149"/>
    <w:rsid w:val="006A1F2A"/>
    <w:rsid w:val="006A23FD"/>
    <w:rsid w:val="006A34E7"/>
    <w:rsid w:val="006A4989"/>
    <w:rsid w:val="006A4D14"/>
    <w:rsid w:val="006A6BAF"/>
    <w:rsid w:val="006A77AD"/>
    <w:rsid w:val="006B0020"/>
    <w:rsid w:val="006B020D"/>
    <w:rsid w:val="006B0617"/>
    <w:rsid w:val="006B096D"/>
    <w:rsid w:val="006B0C48"/>
    <w:rsid w:val="006B1438"/>
    <w:rsid w:val="006B1E56"/>
    <w:rsid w:val="006B241F"/>
    <w:rsid w:val="006B275D"/>
    <w:rsid w:val="006B2F48"/>
    <w:rsid w:val="006B3395"/>
    <w:rsid w:val="006B35FD"/>
    <w:rsid w:val="006B4668"/>
    <w:rsid w:val="006B4E6B"/>
    <w:rsid w:val="006B4FFA"/>
    <w:rsid w:val="006B5B6F"/>
    <w:rsid w:val="006B5D50"/>
    <w:rsid w:val="006B7006"/>
    <w:rsid w:val="006B7738"/>
    <w:rsid w:val="006C08CA"/>
    <w:rsid w:val="006C225B"/>
    <w:rsid w:val="006C232A"/>
    <w:rsid w:val="006C26DE"/>
    <w:rsid w:val="006C2A96"/>
    <w:rsid w:val="006C4277"/>
    <w:rsid w:val="006C4DDE"/>
    <w:rsid w:val="006C52A8"/>
    <w:rsid w:val="006C5EAC"/>
    <w:rsid w:val="006C624E"/>
    <w:rsid w:val="006C7CD6"/>
    <w:rsid w:val="006D00C0"/>
    <w:rsid w:val="006D02BD"/>
    <w:rsid w:val="006D02E5"/>
    <w:rsid w:val="006D0926"/>
    <w:rsid w:val="006D0C63"/>
    <w:rsid w:val="006D10FE"/>
    <w:rsid w:val="006D16BA"/>
    <w:rsid w:val="006D233C"/>
    <w:rsid w:val="006D2343"/>
    <w:rsid w:val="006D4008"/>
    <w:rsid w:val="006D5B78"/>
    <w:rsid w:val="006D5F5E"/>
    <w:rsid w:val="006D6596"/>
    <w:rsid w:val="006D6A71"/>
    <w:rsid w:val="006D74CE"/>
    <w:rsid w:val="006E012C"/>
    <w:rsid w:val="006E0627"/>
    <w:rsid w:val="006E1EEA"/>
    <w:rsid w:val="006E20B0"/>
    <w:rsid w:val="006E3874"/>
    <w:rsid w:val="006E39F3"/>
    <w:rsid w:val="006E3FFD"/>
    <w:rsid w:val="006E4C7A"/>
    <w:rsid w:val="006E4D2B"/>
    <w:rsid w:val="006E4E23"/>
    <w:rsid w:val="006E5F88"/>
    <w:rsid w:val="006E6D9B"/>
    <w:rsid w:val="006E78B3"/>
    <w:rsid w:val="006E7E37"/>
    <w:rsid w:val="006F08F2"/>
    <w:rsid w:val="006F0B1E"/>
    <w:rsid w:val="006F10AD"/>
    <w:rsid w:val="006F15A9"/>
    <w:rsid w:val="006F2B9B"/>
    <w:rsid w:val="006F3300"/>
    <w:rsid w:val="006F4521"/>
    <w:rsid w:val="006F502C"/>
    <w:rsid w:val="006F748E"/>
    <w:rsid w:val="00700231"/>
    <w:rsid w:val="0070117C"/>
    <w:rsid w:val="007021F6"/>
    <w:rsid w:val="00702D75"/>
    <w:rsid w:val="00704A0B"/>
    <w:rsid w:val="007056A8"/>
    <w:rsid w:val="007058FE"/>
    <w:rsid w:val="007067E5"/>
    <w:rsid w:val="007071BD"/>
    <w:rsid w:val="00707705"/>
    <w:rsid w:val="0071088C"/>
    <w:rsid w:val="00711F0B"/>
    <w:rsid w:val="0071232C"/>
    <w:rsid w:val="00713BB6"/>
    <w:rsid w:val="007143A0"/>
    <w:rsid w:val="007143B6"/>
    <w:rsid w:val="00714B62"/>
    <w:rsid w:val="00714DCF"/>
    <w:rsid w:val="00717F50"/>
    <w:rsid w:val="0072140D"/>
    <w:rsid w:val="00721D0C"/>
    <w:rsid w:val="00723247"/>
    <w:rsid w:val="0072364B"/>
    <w:rsid w:val="00723A34"/>
    <w:rsid w:val="00723D75"/>
    <w:rsid w:val="0072491D"/>
    <w:rsid w:val="007255E0"/>
    <w:rsid w:val="007261F3"/>
    <w:rsid w:val="00726F7C"/>
    <w:rsid w:val="00730BDA"/>
    <w:rsid w:val="00730E59"/>
    <w:rsid w:val="007315B7"/>
    <w:rsid w:val="007319FB"/>
    <w:rsid w:val="007323CF"/>
    <w:rsid w:val="00733AFB"/>
    <w:rsid w:val="00734CC7"/>
    <w:rsid w:val="00734E45"/>
    <w:rsid w:val="0073516F"/>
    <w:rsid w:val="0074034F"/>
    <w:rsid w:val="007403E9"/>
    <w:rsid w:val="0074062D"/>
    <w:rsid w:val="007407F7"/>
    <w:rsid w:val="00740D22"/>
    <w:rsid w:val="007411BF"/>
    <w:rsid w:val="00741772"/>
    <w:rsid w:val="007417A5"/>
    <w:rsid w:val="00741D34"/>
    <w:rsid w:val="00743046"/>
    <w:rsid w:val="0074456C"/>
    <w:rsid w:val="00747015"/>
    <w:rsid w:val="00750039"/>
    <w:rsid w:val="007509BF"/>
    <w:rsid w:val="00750E71"/>
    <w:rsid w:val="00751023"/>
    <w:rsid w:val="00751FF7"/>
    <w:rsid w:val="00752619"/>
    <w:rsid w:val="0075291B"/>
    <w:rsid w:val="00752A2F"/>
    <w:rsid w:val="007532ED"/>
    <w:rsid w:val="007533F8"/>
    <w:rsid w:val="00753F98"/>
    <w:rsid w:val="00754035"/>
    <w:rsid w:val="00754200"/>
    <w:rsid w:val="007550E2"/>
    <w:rsid w:val="00756CC8"/>
    <w:rsid w:val="007572C5"/>
    <w:rsid w:val="0075764D"/>
    <w:rsid w:val="00757724"/>
    <w:rsid w:val="00757B17"/>
    <w:rsid w:val="00757DC5"/>
    <w:rsid w:val="00760C64"/>
    <w:rsid w:val="00760D13"/>
    <w:rsid w:val="007611F3"/>
    <w:rsid w:val="00762121"/>
    <w:rsid w:val="00763875"/>
    <w:rsid w:val="00763F61"/>
    <w:rsid w:val="00764F95"/>
    <w:rsid w:val="0076604C"/>
    <w:rsid w:val="0076627B"/>
    <w:rsid w:val="007664F8"/>
    <w:rsid w:val="00766767"/>
    <w:rsid w:val="00766A14"/>
    <w:rsid w:val="007676AB"/>
    <w:rsid w:val="00767DB0"/>
    <w:rsid w:val="0077020F"/>
    <w:rsid w:val="00770376"/>
    <w:rsid w:val="00770CCD"/>
    <w:rsid w:val="00771A39"/>
    <w:rsid w:val="00771DCA"/>
    <w:rsid w:val="00772D1B"/>
    <w:rsid w:val="00773002"/>
    <w:rsid w:val="0077303C"/>
    <w:rsid w:val="007730A0"/>
    <w:rsid w:val="00773F96"/>
    <w:rsid w:val="0077456D"/>
    <w:rsid w:val="00774EDA"/>
    <w:rsid w:val="00774FCD"/>
    <w:rsid w:val="00775B90"/>
    <w:rsid w:val="00775FA1"/>
    <w:rsid w:val="00775FBA"/>
    <w:rsid w:val="0077614F"/>
    <w:rsid w:val="0077686C"/>
    <w:rsid w:val="007768CA"/>
    <w:rsid w:val="00776D95"/>
    <w:rsid w:val="00776FD2"/>
    <w:rsid w:val="00780E89"/>
    <w:rsid w:val="00781475"/>
    <w:rsid w:val="007818C2"/>
    <w:rsid w:val="0078211C"/>
    <w:rsid w:val="007822B0"/>
    <w:rsid w:val="007828C6"/>
    <w:rsid w:val="00782EF5"/>
    <w:rsid w:val="00783A7F"/>
    <w:rsid w:val="00783E21"/>
    <w:rsid w:val="00784BF0"/>
    <w:rsid w:val="00785838"/>
    <w:rsid w:val="00785962"/>
    <w:rsid w:val="00786892"/>
    <w:rsid w:val="00786F1D"/>
    <w:rsid w:val="00787370"/>
    <w:rsid w:val="007876C0"/>
    <w:rsid w:val="007916E4"/>
    <w:rsid w:val="00791C15"/>
    <w:rsid w:val="007935F9"/>
    <w:rsid w:val="007943F7"/>
    <w:rsid w:val="00795A99"/>
    <w:rsid w:val="00796204"/>
    <w:rsid w:val="00797065"/>
    <w:rsid w:val="007A0B26"/>
    <w:rsid w:val="007A1ECC"/>
    <w:rsid w:val="007A37BA"/>
    <w:rsid w:val="007A4AB6"/>
    <w:rsid w:val="007A4C95"/>
    <w:rsid w:val="007A4F63"/>
    <w:rsid w:val="007A5B6F"/>
    <w:rsid w:val="007A6635"/>
    <w:rsid w:val="007A6BF6"/>
    <w:rsid w:val="007A6EC2"/>
    <w:rsid w:val="007A7BE9"/>
    <w:rsid w:val="007A7F45"/>
    <w:rsid w:val="007B02F7"/>
    <w:rsid w:val="007B0787"/>
    <w:rsid w:val="007B0BE5"/>
    <w:rsid w:val="007B1146"/>
    <w:rsid w:val="007B1187"/>
    <w:rsid w:val="007B2AEA"/>
    <w:rsid w:val="007B2F9C"/>
    <w:rsid w:val="007B355D"/>
    <w:rsid w:val="007B61B3"/>
    <w:rsid w:val="007B659D"/>
    <w:rsid w:val="007B687D"/>
    <w:rsid w:val="007B705D"/>
    <w:rsid w:val="007B7102"/>
    <w:rsid w:val="007B7BF7"/>
    <w:rsid w:val="007C047C"/>
    <w:rsid w:val="007C052F"/>
    <w:rsid w:val="007C2A02"/>
    <w:rsid w:val="007C3CBF"/>
    <w:rsid w:val="007C40E2"/>
    <w:rsid w:val="007C4F2A"/>
    <w:rsid w:val="007C66C0"/>
    <w:rsid w:val="007C6DD8"/>
    <w:rsid w:val="007D08EF"/>
    <w:rsid w:val="007D0A05"/>
    <w:rsid w:val="007D10F4"/>
    <w:rsid w:val="007D2143"/>
    <w:rsid w:val="007D2960"/>
    <w:rsid w:val="007D3C17"/>
    <w:rsid w:val="007D4D6A"/>
    <w:rsid w:val="007D5086"/>
    <w:rsid w:val="007D561E"/>
    <w:rsid w:val="007D590D"/>
    <w:rsid w:val="007D5B1F"/>
    <w:rsid w:val="007D67E4"/>
    <w:rsid w:val="007D6A20"/>
    <w:rsid w:val="007D6CD7"/>
    <w:rsid w:val="007D7B98"/>
    <w:rsid w:val="007E0C94"/>
    <w:rsid w:val="007E1242"/>
    <w:rsid w:val="007E1435"/>
    <w:rsid w:val="007E18A4"/>
    <w:rsid w:val="007E2653"/>
    <w:rsid w:val="007E33C4"/>
    <w:rsid w:val="007E4411"/>
    <w:rsid w:val="007E4688"/>
    <w:rsid w:val="007E5DB1"/>
    <w:rsid w:val="007E6221"/>
    <w:rsid w:val="007E7A13"/>
    <w:rsid w:val="007E7DDC"/>
    <w:rsid w:val="007F082E"/>
    <w:rsid w:val="007F13BA"/>
    <w:rsid w:val="007F1E2A"/>
    <w:rsid w:val="007F2E95"/>
    <w:rsid w:val="007F365A"/>
    <w:rsid w:val="007F47F0"/>
    <w:rsid w:val="00800717"/>
    <w:rsid w:val="00800D39"/>
    <w:rsid w:val="00801643"/>
    <w:rsid w:val="00801E29"/>
    <w:rsid w:val="00802E87"/>
    <w:rsid w:val="00803517"/>
    <w:rsid w:val="008043BC"/>
    <w:rsid w:val="00804AE1"/>
    <w:rsid w:val="00804F0B"/>
    <w:rsid w:val="00807422"/>
    <w:rsid w:val="0080746D"/>
    <w:rsid w:val="0081041D"/>
    <w:rsid w:val="00810504"/>
    <w:rsid w:val="00810E69"/>
    <w:rsid w:val="00810F1C"/>
    <w:rsid w:val="00813171"/>
    <w:rsid w:val="008144F0"/>
    <w:rsid w:val="0081457E"/>
    <w:rsid w:val="00815373"/>
    <w:rsid w:val="00815C3F"/>
    <w:rsid w:val="008160D1"/>
    <w:rsid w:val="0081637B"/>
    <w:rsid w:val="008164E3"/>
    <w:rsid w:val="008177A9"/>
    <w:rsid w:val="00820336"/>
    <w:rsid w:val="00820AC6"/>
    <w:rsid w:val="00820F52"/>
    <w:rsid w:val="00821981"/>
    <w:rsid w:val="00823224"/>
    <w:rsid w:val="008235A0"/>
    <w:rsid w:val="0082384F"/>
    <w:rsid w:val="008275AA"/>
    <w:rsid w:val="0083038D"/>
    <w:rsid w:val="00830B29"/>
    <w:rsid w:val="00830DDA"/>
    <w:rsid w:val="00830E68"/>
    <w:rsid w:val="00830F67"/>
    <w:rsid w:val="00832172"/>
    <w:rsid w:val="00832638"/>
    <w:rsid w:val="0083310C"/>
    <w:rsid w:val="008332FA"/>
    <w:rsid w:val="008346BF"/>
    <w:rsid w:val="0083575C"/>
    <w:rsid w:val="00836898"/>
    <w:rsid w:val="0083696C"/>
    <w:rsid w:val="00837057"/>
    <w:rsid w:val="008376A0"/>
    <w:rsid w:val="008376AC"/>
    <w:rsid w:val="008379E1"/>
    <w:rsid w:val="008412B2"/>
    <w:rsid w:val="008415FE"/>
    <w:rsid w:val="00841EE8"/>
    <w:rsid w:val="00842334"/>
    <w:rsid w:val="00842451"/>
    <w:rsid w:val="0084306C"/>
    <w:rsid w:val="00843841"/>
    <w:rsid w:val="008443DE"/>
    <w:rsid w:val="0084479E"/>
    <w:rsid w:val="008456F2"/>
    <w:rsid w:val="00846567"/>
    <w:rsid w:val="00846AE3"/>
    <w:rsid w:val="00846BBB"/>
    <w:rsid w:val="008470F0"/>
    <w:rsid w:val="008534B0"/>
    <w:rsid w:val="00853AE1"/>
    <w:rsid w:val="00853E03"/>
    <w:rsid w:val="00856F87"/>
    <w:rsid w:val="00856FFF"/>
    <w:rsid w:val="00857A01"/>
    <w:rsid w:val="00860995"/>
    <w:rsid w:val="008614A4"/>
    <w:rsid w:val="008626F5"/>
    <w:rsid w:val="008628E9"/>
    <w:rsid w:val="0086434A"/>
    <w:rsid w:val="008645A5"/>
    <w:rsid w:val="0086501B"/>
    <w:rsid w:val="00865CD7"/>
    <w:rsid w:val="00865CF2"/>
    <w:rsid w:val="008665F3"/>
    <w:rsid w:val="008674C5"/>
    <w:rsid w:val="00870005"/>
    <w:rsid w:val="00870115"/>
    <w:rsid w:val="00871493"/>
    <w:rsid w:val="008727A6"/>
    <w:rsid w:val="00872E03"/>
    <w:rsid w:val="00874A87"/>
    <w:rsid w:val="00874C85"/>
    <w:rsid w:val="00874FA5"/>
    <w:rsid w:val="00875100"/>
    <w:rsid w:val="00875380"/>
    <w:rsid w:val="00875621"/>
    <w:rsid w:val="00876655"/>
    <w:rsid w:val="00876FD7"/>
    <w:rsid w:val="008807DA"/>
    <w:rsid w:val="00882629"/>
    <w:rsid w:val="00882930"/>
    <w:rsid w:val="00883331"/>
    <w:rsid w:val="00883553"/>
    <w:rsid w:val="00883A6C"/>
    <w:rsid w:val="00884369"/>
    <w:rsid w:val="0088485C"/>
    <w:rsid w:val="00885ADB"/>
    <w:rsid w:val="008901FC"/>
    <w:rsid w:val="008903A5"/>
    <w:rsid w:val="0089047B"/>
    <w:rsid w:val="00890F46"/>
    <w:rsid w:val="0089250A"/>
    <w:rsid w:val="00892844"/>
    <w:rsid w:val="00892C5B"/>
    <w:rsid w:val="00892E1B"/>
    <w:rsid w:val="0089393C"/>
    <w:rsid w:val="008948F4"/>
    <w:rsid w:val="00894D9F"/>
    <w:rsid w:val="0089590D"/>
    <w:rsid w:val="00895DB8"/>
    <w:rsid w:val="00896B69"/>
    <w:rsid w:val="00897BF0"/>
    <w:rsid w:val="008A03F2"/>
    <w:rsid w:val="008A0446"/>
    <w:rsid w:val="008A1478"/>
    <w:rsid w:val="008A1618"/>
    <w:rsid w:val="008A2546"/>
    <w:rsid w:val="008A3365"/>
    <w:rsid w:val="008A4051"/>
    <w:rsid w:val="008A431E"/>
    <w:rsid w:val="008A49B3"/>
    <w:rsid w:val="008A54D7"/>
    <w:rsid w:val="008A5A4B"/>
    <w:rsid w:val="008A61E0"/>
    <w:rsid w:val="008A6F16"/>
    <w:rsid w:val="008B0644"/>
    <w:rsid w:val="008B13B1"/>
    <w:rsid w:val="008B14D7"/>
    <w:rsid w:val="008B2A4B"/>
    <w:rsid w:val="008B3084"/>
    <w:rsid w:val="008B30B7"/>
    <w:rsid w:val="008B31A4"/>
    <w:rsid w:val="008B35D6"/>
    <w:rsid w:val="008B55B7"/>
    <w:rsid w:val="008B5684"/>
    <w:rsid w:val="008B6133"/>
    <w:rsid w:val="008B6924"/>
    <w:rsid w:val="008B7144"/>
    <w:rsid w:val="008B719C"/>
    <w:rsid w:val="008B743E"/>
    <w:rsid w:val="008B78A7"/>
    <w:rsid w:val="008B7B84"/>
    <w:rsid w:val="008C3594"/>
    <w:rsid w:val="008C3899"/>
    <w:rsid w:val="008C38B0"/>
    <w:rsid w:val="008C56AF"/>
    <w:rsid w:val="008C5A25"/>
    <w:rsid w:val="008C711F"/>
    <w:rsid w:val="008D0A98"/>
    <w:rsid w:val="008D0C69"/>
    <w:rsid w:val="008D18EA"/>
    <w:rsid w:val="008D1CD2"/>
    <w:rsid w:val="008D25F4"/>
    <w:rsid w:val="008D3317"/>
    <w:rsid w:val="008D3857"/>
    <w:rsid w:val="008D3A62"/>
    <w:rsid w:val="008D4722"/>
    <w:rsid w:val="008D4FE5"/>
    <w:rsid w:val="008D5645"/>
    <w:rsid w:val="008D6A2D"/>
    <w:rsid w:val="008D774A"/>
    <w:rsid w:val="008D7AA0"/>
    <w:rsid w:val="008D7DFA"/>
    <w:rsid w:val="008E0084"/>
    <w:rsid w:val="008E0862"/>
    <w:rsid w:val="008E0B4C"/>
    <w:rsid w:val="008E13CB"/>
    <w:rsid w:val="008E14A7"/>
    <w:rsid w:val="008E2A59"/>
    <w:rsid w:val="008E2FB9"/>
    <w:rsid w:val="008E3C5A"/>
    <w:rsid w:val="008E5CAB"/>
    <w:rsid w:val="008E6FE8"/>
    <w:rsid w:val="008F1C8D"/>
    <w:rsid w:val="008F3A86"/>
    <w:rsid w:val="008F45EC"/>
    <w:rsid w:val="008F5409"/>
    <w:rsid w:val="008F5B60"/>
    <w:rsid w:val="008F612E"/>
    <w:rsid w:val="008F6C07"/>
    <w:rsid w:val="008F731C"/>
    <w:rsid w:val="009019A2"/>
    <w:rsid w:val="009021EB"/>
    <w:rsid w:val="0090251D"/>
    <w:rsid w:val="00903397"/>
    <w:rsid w:val="00903A9E"/>
    <w:rsid w:val="00903F13"/>
    <w:rsid w:val="0090429A"/>
    <w:rsid w:val="0090454E"/>
    <w:rsid w:val="00905ABF"/>
    <w:rsid w:val="0090603D"/>
    <w:rsid w:val="0090621F"/>
    <w:rsid w:val="009064E9"/>
    <w:rsid w:val="00906C1E"/>
    <w:rsid w:val="009075F7"/>
    <w:rsid w:val="00911C6F"/>
    <w:rsid w:val="0091201D"/>
    <w:rsid w:val="00912841"/>
    <w:rsid w:val="00912C95"/>
    <w:rsid w:val="00912E45"/>
    <w:rsid w:val="00914603"/>
    <w:rsid w:val="00914B0F"/>
    <w:rsid w:val="00915344"/>
    <w:rsid w:val="00915A79"/>
    <w:rsid w:val="00915BAC"/>
    <w:rsid w:val="00917D7D"/>
    <w:rsid w:val="00917F5C"/>
    <w:rsid w:val="00920344"/>
    <w:rsid w:val="009203D2"/>
    <w:rsid w:val="00920C99"/>
    <w:rsid w:val="00922422"/>
    <w:rsid w:val="00923005"/>
    <w:rsid w:val="0092352A"/>
    <w:rsid w:val="0092393F"/>
    <w:rsid w:val="00923A78"/>
    <w:rsid w:val="00923EB4"/>
    <w:rsid w:val="009251A0"/>
    <w:rsid w:val="009253AA"/>
    <w:rsid w:val="00925584"/>
    <w:rsid w:val="009262FB"/>
    <w:rsid w:val="00926B45"/>
    <w:rsid w:val="0092728B"/>
    <w:rsid w:val="0092764B"/>
    <w:rsid w:val="009278A8"/>
    <w:rsid w:val="009278ED"/>
    <w:rsid w:val="00930D4B"/>
    <w:rsid w:val="00931168"/>
    <w:rsid w:val="009315D3"/>
    <w:rsid w:val="00932A97"/>
    <w:rsid w:val="00932CA7"/>
    <w:rsid w:val="00932D31"/>
    <w:rsid w:val="00933041"/>
    <w:rsid w:val="00933336"/>
    <w:rsid w:val="00934DE9"/>
    <w:rsid w:val="00934ECC"/>
    <w:rsid w:val="009362B2"/>
    <w:rsid w:val="00936366"/>
    <w:rsid w:val="009365B4"/>
    <w:rsid w:val="00936C17"/>
    <w:rsid w:val="00936DBF"/>
    <w:rsid w:val="00937994"/>
    <w:rsid w:val="00937CFE"/>
    <w:rsid w:val="00940BCF"/>
    <w:rsid w:val="0094258A"/>
    <w:rsid w:val="0094384A"/>
    <w:rsid w:val="00943BB9"/>
    <w:rsid w:val="009446CE"/>
    <w:rsid w:val="00944EB1"/>
    <w:rsid w:val="0094658D"/>
    <w:rsid w:val="00946897"/>
    <w:rsid w:val="0094759A"/>
    <w:rsid w:val="009520BC"/>
    <w:rsid w:val="00953FE2"/>
    <w:rsid w:val="00954836"/>
    <w:rsid w:val="00954C1E"/>
    <w:rsid w:val="00954DFC"/>
    <w:rsid w:val="00955C53"/>
    <w:rsid w:val="00956C80"/>
    <w:rsid w:val="00956D18"/>
    <w:rsid w:val="00956E5F"/>
    <w:rsid w:val="00957B09"/>
    <w:rsid w:val="00957B48"/>
    <w:rsid w:val="00960238"/>
    <w:rsid w:val="00961623"/>
    <w:rsid w:val="00961FA3"/>
    <w:rsid w:val="0096243F"/>
    <w:rsid w:val="00962662"/>
    <w:rsid w:val="0096304A"/>
    <w:rsid w:val="0096316F"/>
    <w:rsid w:val="00963867"/>
    <w:rsid w:val="00963B8F"/>
    <w:rsid w:val="00963F42"/>
    <w:rsid w:val="0096462B"/>
    <w:rsid w:val="00966871"/>
    <w:rsid w:val="00967466"/>
    <w:rsid w:val="00967E5D"/>
    <w:rsid w:val="00970488"/>
    <w:rsid w:val="00971234"/>
    <w:rsid w:val="00971BA8"/>
    <w:rsid w:val="00972BCA"/>
    <w:rsid w:val="00972F6C"/>
    <w:rsid w:val="00973128"/>
    <w:rsid w:val="00974424"/>
    <w:rsid w:val="00976DE8"/>
    <w:rsid w:val="00977650"/>
    <w:rsid w:val="00977692"/>
    <w:rsid w:val="00977941"/>
    <w:rsid w:val="009803D6"/>
    <w:rsid w:val="00980C8E"/>
    <w:rsid w:val="00981B84"/>
    <w:rsid w:val="00984842"/>
    <w:rsid w:val="00984BF6"/>
    <w:rsid w:val="00985B32"/>
    <w:rsid w:val="009864F7"/>
    <w:rsid w:val="009866E4"/>
    <w:rsid w:val="009876FA"/>
    <w:rsid w:val="00990428"/>
    <w:rsid w:val="009905FE"/>
    <w:rsid w:val="00991DAD"/>
    <w:rsid w:val="00991F82"/>
    <w:rsid w:val="009947AA"/>
    <w:rsid w:val="00994C06"/>
    <w:rsid w:val="0099600A"/>
    <w:rsid w:val="00996FD4"/>
    <w:rsid w:val="009A026F"/>
    <w:rsid w:val="009A1833"/>
    <w:rsid w:val="009A1854"/>
    <w:rsid w:val="009A264F"/>
    <w:rsid w:val="009A3A89"/>
    <w:rsid w:val="009A3FF8"/>
    <w:rsid w:val="009A4E15"/>
    <w:rsid w:val="009A5571"/>
    <w:rsid w:val="009A5AA5"/>
    <w:rsid w:val="009A6319"/>
    <w:rsid w:val="009A643B"/>
    <w:rsid w:val="009A6AE6"/>
    <w:rsid w:val="009A6B0C"/>
    <w:rsid w:val="009A75E2"/>
    <w:rsid w:val="009A7B92"/>
    <w:rsid w:val="009A7BFF"/>
    <w:rsid w:val="009A7E9E"/>
    <w:rsid w:val="009B07F5"/>
    <w:rsid w:val="009B1D25"/>
    <w:rsid w:val="009B20D1"/>
    <w:rsid w:val="009B2246"/>
    <w:rsid w:val="009B24A6"/>
    <w:rsid w:val="009B2E8A"/>
    <w:rsid w:val="009B2ED6"/>
    <w:rsid w:val="009B33CE"/>
    <w:rsid w:val="009B4AE5"/>
    <w:rsid w:val="009B5744"/>
    <w:rsid w:val="009B5F26"/>
    <w:rsid w:val="009B679C"/>
    <w:rsid w:val="009B6C1F"/>
    <w:rsid w:val="009B6D71"/>
    <w:rsid w:val="009B7132"/>
    <w:rsid w:val="009B73CA"/>
    <w:rsid w:val="009C1FE5"/>
    <w:rsid w:val="009C1FF4"/>
    <w:rsid w:val="009C32C2"/>
    <w:rsid w:val="009C4368"/>
    <w:rsid w:val="009C49F6"/>
    <w:rsid w:val="009C7782"/>
    <w:rsid w:val="009D08D3"/>
    <w:rsid w:val="009D0A76"/>
    <w:rsid w:val="009D0B4F"/>
    <w:rsid w:val="009D1D59"/>
    <w:rsid w:val="009D3198"/>
    <w:rsid w:val="009D3958"/>
    <w:rsid w:val="009D3EBF"/>
    <w:rsid w:val="009D414F"/>
    <w:rsid w:val="009D56A7"/>
    <w:rsid w:val="009D57A2"/>
    <w:rsid w:val="009D5FA4"/>
    <w:rsid w:val="009D6090"/>
    <w:rsid w:val="009D7A57"/>
    <w:rsid w:val="009E053A"/>
    <w:rsid w:val="009E0D64"/>
    <w:rsid w:val="009E0E63"/>
    <w:rsid w:val="009E0E79"/>
    <w:rsid w:val="009E1CB3"/>
    <w:rsid w:val="009E20F2"/>
    <w:rsid w:val="009E230D"/>
    <w:rsid w:val="009E2E2A"/>
    <w:rsid w:val="009E3112"/>
    <w:rsid w:val="009E5FBC"/>
    <w:rsid w:val="009E6208"/>
    <w:rsid w:val="009E6D69"/>
    <w:rsid w:val="009E728A"/>
    <w:rsid w:val="009E72D5"/>
    <w:rsid w:val="009E7C91"/>
    <w:rsid w:val="009F08AA"/>
    <w:rsid w:val="009F092A"/>
    <w:rsid w:val="009F109A"/>
    <w:rsid w:val="009F1779"/>
    <w:rsid w:val="009F2AA7"/>
    <w:rsid w:val="009F4A35"/>
    <w:rsid w:val="009F5E4F"/>
    <w:rsid w:val="009F6EA7"/>
    <w:rsid w:val="009F7A91"/>
    <w:rsid w:val="009F7EB6"/>
    <w:rsid w:val="00A00099"/>
    <w:rsid w:val="00A006C8"/>
    <w:rsid w:val="00A0188B"/>
    <w:rsid w:val="00A02997"/>
    <w:rsid w:val="00A02F09"/>
    <w:rsid w:val="00A041C0"/>
    <w:rsid w:val="00A04927"/>
    <w:rsid w:val="00A0591A"/>
    <w:rsid w:val="00A05D53"/>
    <w:rsid w:val="00A0627A"/>
    <w:rsid w:val="00A10BFD"/>
    <w:rsid w:val="00A1258A"/>
    <w:rsid w:val="00A13494"/>
    <w:rsid w:val="00A14D75"/>
    <w:rsid w:val="00A1501B"/>
    <w:rsid w:val="00A15421"/>
    <w:rsid w:val="00A15DF8"/>
    <w:rsid w:val="00A16002"/>
    <w:rsid w:val="00A16906"/>
    <w:rsid w:val="00A203F8"/>
    <w:rsid w:val="00A21015"/>
    <w:rsid w:val="00A2180D"/>
    <w:rsid w:val="00A23A46"/>
    <w:rsid w:val="00A23A9B"/>
    <w:rsid w:val="00A25A83"/>
    <w:rsid w:val="00A26585"/>
    <w:rsid w:val="00A265CE"/>
    <w:rsid w:val="00A26723"/>
    <w:rsid w:val="00A27158"/>
    <w:rsid w:val="00A275B0"/>
    <w:rsid w:val="00A27E33"/>
    <w:rsid w:val="00A30ED4"/>
    <w:rsid w:val="00A31756"/>
    <w:rsid w:val="00A31EA4"/>
    <w:rsid w:val="00A32B5D"/>
    <w:rsid w:val="00A33173"/>
    <w:rsid w:val="00A36DDE"/>
    <w:rsid w:val="00A37D33"/>
    <w:rsid w:val="00A37DC4"/>
    <w:rsid w:val="00A37E82"/>
    <w:rsid w:val="00A4008D"/>
    <w:rsid w:val="00A40194"/>
    <w:rsid w:val="00A40548"/>
    <w:rsid w:val="00A40B45"/>
    <w:rsid w:val="00A428C8"/>
    <w:rsid w:val="00A44B29"/>
    <w:rsid w:val="00A44CA0"/>
    <w:rsid w:val="00A45557"/>
    <w:rsid w:val="00A47714"/>
    <w:rsid w:val="00A477AE"/>
    <w:rsid w:val="00A47B0C"/>
    <w:rsid w:val="00A501D3"/>
    <w:rsid w:val="00A50FC1"/>
    <w:rsid w:val="00A519F2"/>
    <w:rsid w:val="00A5334C"/>
    <w:rsid w:val="00A54759"/>
    <w:rsid w:val="00A54D83"/>
    <w:rsid w:val="00A5609B"/>
    <w:rsid w:val="00A5769B"/>
    <w:rsid w:val="00A576B7"/>
    <w:rsid w:val="00A6159C"/>
    <w:rsid w:val="00A6491F"/>
    <w:rsid w:val="00A65201"/>
    <w:rsid w:val="00A65A42"/>
    <w:rsid w:val="00A65AE2"/>
    <w:rsid w:val="00A6636F"/>
    <w:rsid w:val="00A670E0"/>
    <w:rsid w:val="00A67942"/>
    <w:rsid w:val="00A67D2D"/>
    <w:rsid w:val="00A700F1"/>
    <w:rsid w:val="00A70430"/>
    <w:rsid w:val="00A707C7"/>
    <w:rsid w:val="00A7115B"/>
    <w:rsid w:val="00A72465"/>
    <w:rsid w:val="00A727F6"/>
    <w:rsid w:val="00A7289D"/>
    <w:rsid w:val="00A729C7"/>
    <w:rsid w:val="00A72B9B"/>
    <w:rsid w:val="00A73923"/>
    <w:rsid w:val="00A75EAB"/>
    <w:rsid w:val="00A76935"/>
    <w:rsid w:val="00A77292"/>
    <w:rsid w:val="00A807DB"/>
    <w:rsid w:val="00A80F97"/>
    <w:rsid w:val="00A810F5"/>
    <w:rsid w:val="00A81330"/>
    <w:rsid w:val="00A831F9"/>
    <w:rsid w:val="00A8379F"/>
    <w:rsid w:val="00A839DD"/>
    <w:rsid w:val="00A8563C"/>
    <w:rsid w:val="00A85F8C"/>
    <w:rsid w:val="00A906CF"/>
    <w:rsid w:val="00A90EFE"/>
    <w:rsid w:val="00A91B15"/>
    <w:rsid w:val="00A92033"/>
    <w:rsid w:val="00A92572"/>
    <w:rsid w:val="00A96755"/>
    <w:rsid w:val="00A96A20"/>
    <w:rsid w:val="00A96C51"/>
    <w:rsid w:val="00A97156"/>
    <w:rsid w:val="00A975F3"/>
    <w:rsid w:val="00A977C8"/>
    <w:rsid w:val="00A97B2E"/>
    <w:rsid w:val="00AA037C"/>
    <w:rsid w:val="00AA08E8"/>
    <w:rsid w:val="00AA095A"/>
    <w:rsid w:val="00AA2895"/>
    <w:rsid w:val="00AA2C24"/>
    <w:rsid w:val="00AA2E59"/>
    <w:rsid w:val="00AA51FD"/>
    <w:rsid w:val="00AB0AFD"/>
    <w:rsid w:val="00AB0F10"/>
    <w:rsid w:val="00AB23E5"/>
    <w:rsid w:val="00AB5CB4"/>
    <w:rsid w:val="00AB6400"/>
    <w:rsid w:val="00AC0777"/>
    <w:rsid w:val="00AC086B"/>
    <w:rsid w:val="00AC1D9F"/>
    <w:rsid w:val="00AC1E2A"/>
    <w:rsid w:val="00AC34C7"/>
    <w:rsid w:val="00AC4066"/>
    <w:rsid w:val="00AC4C75"/>
    <w:rsid w:val="00AC4E3D"/>
    <w:rsid w:val="00AC4F58"/>
    <w:rsid w:val="00AC5DBE"/>
    <w:rsid w:val="00AC6247"/>
    <w:rsid w:val="00AC630A"/>
    <w:rsid w:val="00AC6F05"/>
    <w:rsid w:val="00AC740B"/>
    <w:rsid w:val="00AC785C"/>
    <w:rsid w:val="00AC7A76"/>
    <w:rsid w:val="00AD01EC"/>
    <w:rsid w:val="00AD143E"/>
    <w:rsid w:val="00AD23D1"/>
    <w:rsid w:val="00AD3C2C"/>
    <w:rsid w:val="00AD460F"/>
    <w:rsid w:val="00AD4BB0"/>
    <w:rsid w:val="00AD5235"/>
    <w:rsid w:val="00AD61D7"/>
    <w:rsid w:val="00AD6CE7"/>
    <w:rsid w:val="00AD7D49"/>
    <w:rsid w:val="00AE0692"/>
    <w:rsid w:val="00AE1014"/>
    <w:rsid w:val="00AE11BA"/>
    <w:rsid w:val="00AE1904"/>
    <w:rsid w:val="00AE1EFA"/>
    <w:rsid w:val="00AE2FFB"/>
    <w:rsid w:val="00AE35F8"/>
    <w:rsid w:val="00AE403B"/>
    <w:rsid w:val="00AE44C4"/>
    <w:rsid w:val="00AE473F"/>
    <w:rsid w:val="00AE5767"/>
    <w:rsid w:val="00AE6861"/>
    <w:rsid w:val="00AE6B0D"/>
    <w:rsid w:val="00AE716B"/>
    <w:rsid w:val="00AE72C8"/>
    <w:rsid w:val="00AE742C"/>
    <w:rsid w:val="00AE7490"/>
    <w:rsid w:val="00AF1614"/>
    <w:rsid w:val="00AF1A13"/>
    <w:rsid w:val="00AF22DC"/>
    <w:rsid w:val="00AF26E2"/>
    <w:rsid w:val="00AF3067"/>
    <w:rsid w:val="00AF6BF8"/>
    <w:rsid w:val="00AF7E77"/>
    <w:rsid w:val="00AF7EA5"/>
    <w:rsid w:val="00B0027C"/>
    <w:rsid w:val="00B0050E"/>
    <w:rsid w:val="00B015AA"/>
    <w:rsid w:val="00B0239C"/>
    <w:rsid w:val="00B02530"/>
    <w:rsid w:val="00B0435E"/>
    <w:rsid w:val="00B044D6"/>
    <w:rsid w:val="00B046D9"/>
    <w:rsid w:val="00B05FCE"/>
    <w:rsid w:val="00B06341"/>
    <w:rsid w:val="00B07C3D"/>
    <w:rsid w:val="00B101AB"/>
    <w:rsid w:val="00B108AC"/>
    <w:rsid w:val="00B10A0D"/>
    <w:rsid w:val="00B11C6C"/>
    <w:rsid w:val="00B11F3D"/>
    <w:rsid w:val="00B125C0"/>
    <w:rsid w:val="00B1324D"/>
    <w:rsid w:val="00B1351A"/>
    <w:rsid w:val="00B1527B"/>
    <w:rsid w:val="00B1562E"/>
    <w:rsid w:val="00B1567D"/>
    <w:rsid w:val="00B20224"/>
    <w:rsid w:val="00B22898"/>
    <w:rsid w:val="00B2311A"/>
    <w:rsid w:val="00B2428C"/>
    <w:rsid w:val="00B27475"/>
    <w:rsid w:val="00B300F7"/>
    <w:rsid w:val="00B303BB"/>
    <w:rsid w:val="00B310C5"/>
    <w:rsid w:val="00B327E3"/>
    <w:rsid w:val="00B32AFC"/>
    <w:rsid w:val="00B334C2"/>
    <w:rsid w:val="00B33B26"/>
    <w:rsid w:val="00B34BCA"/>
    <w:rsid w:val="00B356BF"/>
    <w:rsid w:val="00B3656D"/>
    <w:rsid w:val="00B3701F"/>
    <w:rsid w:val="00B3721C"/>
    <w:rsid w:val="00B37F48"/>
    <w:rsid w:val="00B418E9"/>
    <w:rsid w:val="00B42C73"/>
    <w:rsid w:val="00B42E2C"/>
    <w:rsid w:val="00B4337B"/>
    <w:rsid w:val="00B44D8F"/>
    <w:rsid w:val="00B44E58"/>
    <w:rsid w:val="00B47BEF"/>
    <w:rsid w:val="00B50B0E"/>
    <w:rsid w:val="00B50E66"/>
    <w:rsid w:val="00B50F79"/>
    <w:rsid w:val="00B5179A"/>
    <w:rsid w:val="00B52ADC"/>
    <w:rsid w:val="00B53A91"/>
    <w:rsid w:val="00B54262"/>
    <w:rsid w:val="00B54B3B"/>
    <w:rsid w:val="00B54B82"/>
    <w:rsid w:val="00B55AEB"/>
    <w:rsid w:val="00B5622A"/>
    <w:rsid w:val="00B5660D"/>
    <w:rsid w:val="00B572BC"/>
    <w:rsid w:val="00B60624"/>
    <w:rsid w:val="00B60E31"/>
    <w:rsid w:val="00B610FB"/>
    <w:rsid w:val="00B63748"/>
    <w:rsid w:val="00B6400F"/>
    <w:rsid w:val="00B64500"/>
    <w:rsid w:val="00B655B3"/>
    <w:rsid w:val="00B65896"/>
    <w:rsid w:val="00B665C5"/>
    <w:rsid w:val="00B6715B"/>
    <w:rsid w:val="00B678E0"/>
    <w:rsid w:val="00B70080"/>
    <w:rsid w:val="00B71B98"/>
    <w:rsid w:val="00B71E1D"/>
    <w:rsid w:val="00B72AED"/>
    <w:rsid w:val="00B73AD9"/>
    <w:rsid w:val="00B746BC"/>
    <w:rsid w:val="00B74AE2"/>
    <w:rsid w:val="00B74CC7"/>
    <w:rsid w:val="00B74F8D"/>
    <w:rsid w:val="00B758A9"/>
    <w:rsid w:val="00B75BB6"/>
    <w:rsid w:val="00B76B71"/>
    <w:rsid w:val="00B76C2D"/>
    <w:rsid w:val="00B77031"/>
    <w:rsid w:val="00B77693"/>
    <w:rsid w:val="00B77810"/>
    <w:rsid w:val="00B77A96"/>
    <w:rsid w:val="00B77AED"/>
    <w:rsid w:val="00B8001A"/>
    <w:rsid w:val="00B8392E"/>
    <w:rsid w:val="00B83BE7"/>
    <w:rsid w:val="00B84ECF"/>
    <w:rsid w:val="00B85A6A"/>
    <w:rsid w:val="00B85D9A"/>
    <w:rsid w:val="00B86377"/>
    <w:rsid w:val="00B866F8"/>
    <w:rsid w:val="00B87069"/>
    <w:rsid w:val="00B905FA"/>
    <w:rsid w:val="00B90A5B"/>
    <w:rsid w:val="00B92DE6"/>
    <w:rsid w:val="00B937EB"/>
    <w:rsid w:val="00B9446F"/>
    <w:rsid w:val="00B95AE3"/>
    <w:rsid w:val="00B9620F"/>
    <w:rsid w:val="00B9644B"/>
    <w:rsid w:val="00B966D6"/>
    <w:rsid w:val="00B971F8"/>
    <w:rsid w:val="00B97EED"/>
    <w:rsid w:val="00BA02CC"/>
    <w:rsid w:val="00BA0617"/>
    <w:rsid w:val="00BA1506"/>
    <w:rsid w:val="00BA24C1"/>
    <w:rsid w:val="00BA31DB"/>
    <w:rsid w:val="00BA34A4"/>
    <w:rsid w:val="00BA3D79"/>
    <w:rsid w:val="00BA5826"/>
    <w:rsid w:val="00BA5C8E"/>
    <w:rsid w:val="00BA618A"/>
    <w:rsid w:val="00BA6A17"/>
    <w:rsid w:val="00BA719C"/>
    <w:rsid w:val="00BA7308"/>
    <w:rsid w:val="00BA73C9"/>
    <w:rsid w:val="00BA74FE"/>
    <w:rsid w:val="00BB0D73"/>
    <w:rsid w:val="00BB0E36"/>
    <w:rsid w:val="00BB1066"/>
    <w:rsid w:val="00BB1BD6"/>
    <w:rsid w:val="00BB20E0"/>
    <w:rsid w:val="00BB3A8F"/>
    <w:rsid w:val="00BB4230"/>
    <w:rsid w:val="00BB4320"/>
    <w:rsid w:val="00BB7548"/>
    <w:rsid w:val="00BB7914"/>
    <w:rsid w:val="00BB7DF5"/>
    <w:rsid w:val="00BC0172"/>
    <w:rsid w:val="00BC170A"/>
    <w:rsid w:val="00BC26EB"/>
    <w:rsid w:val="00BC315E"/>
    <w:rsid w:val="00BC32B6"/>
    <w:rsid w:val="00BC3401"/>
    <w:rsid w:val="00BC4651"/>
    <w:rsid w:val="00BC490A"/>
    <w:rsid w:val="00BC4FE0"/>
    <w:rsid w:val="00BC549E"/>
    <w:rsid w:val="00BC54A0"/>
    <w:rsid w:val="00BC5E1D"/>
    <w:rsid w:val="00BC7EAD"/>
    <w:rsid w:val="00BD0DE1"/>
    <w:rsid w:val="00BD0F9A"/>
    <w:rsid w:val="00BD13DA"/>
    <w:rsid w:val="00BD1510"/>
    <w:rsid w:val="00BD1EF3"/>
    <w:rsid w:val="00BD3F24"/>
    <w:rsid w:val="00BD40A8"/>
    <w:rsid w:val="00BD41F7"/>
    <w:rsid w:val="00BD5557"/>
    <w:rsid w:val="00BD748B"/>
    <w:rsid w:val="00BD7799"/>
    <w:rsid w:val="00BE00A0"/>
    <w:rsid w:val="00BE012D"/>
    <w:rsid w:val="00BE0D2A"/>
    <w:rsid w:val="00BE3A58"/>
    <w:rsid w:val="00BE516D"/>
    <w:rsid w:val="00BE51BF"/>
    <w:rsid w:val="00BE59CB"/>
    <w:rsid w:val="00BF22E5"/>
    <w:rsid w:val="00BF24F2"/>
    <w:rsid w:val="00BF3748"/>
    <w:rsid w:val="00BF39DB"/>
    <w:rsid w:val="00BF4339"/>
    <w:rsid w:val="00BF4402"/>
    <w:rsid w:val="00BF6298"/>
    <w:rsid w:val="00BF75CA"/>
    <w:rsid w:val="00C004C0"/>
    <w:rsid w:val="00C011A0"/>
    <w:rsid w:val="00C01C7C"/>
    <w:rsid w:val="00C02DAF"/>
    <w:rsid w:val="00C036F9"/>
    <w:rsid w:val="00C03C31"/>
    <w:rsid w:val="00C04735"/>
    <w:rsid w:val="00C0478F"/>
    <w:rsid w:val="00C05DF9"/>
    <w:rsid w:val="00C064C7"/>
    <w:rsid w:val="00C0675C"/>
    <w:rsid w:val="00C06828"/>
    <w:rsid w:val="00C076EF"/>
    <w:rsid w:val="00C106BF"/>
    <w:rsid w:val="00C117B5"/>
    <w:rsid w:val="00C11C93"/>
    <w:rsid w:val="00C12495"/>
    <w:rsid w:val="00C1431F"/>
    <w:rsid w:val="00C14431"/>
    <w:rsid w:val="00C16761"/>
    <w:rsid w:val="00C17AA9"/>
    <w:rsid w:val="00C23238"/>
    <w:rsid w:val="00C23716"/>
    <w:rsid w:val="00C246AA"/>
    <w:rsid w:val="00C2569D"/>
    <w:rsid w:val="00C25FD2"/>
    <w:rsid w:val="00C26584"/>
    <w:rsid w:val="00C26C2B"/>
    <w:rsid w:val="00C2721C"/>
    <w:rsid w:val="00C273BA"/>
    <w:rsid w:val="00C31B95"/>
    <w:rsid w:val="00C32E25"/>
    <w:rsid w:val="00C33599"/>
    <w:rsid w:val="00C344AD"/>
    <w:rsid w:val="00C3487F"/>
    <w:rsid w:val="00C34C76"/>
    <w:rsid w:val="00C37099"/>
    <w:rsid w:val="00C40E02"/>
    <w:rsid w:val="00C40F48"/>
    <w:rsid w:val="00C44014"/>
    <w:rsid w:val="00C44234"/>
    <w:rsid w:val="00C45420"/>
    <w:rsid w:val="00C47874"/>
    <w:rsid w:val="00C5006B"/>
    <w:rsid w:val="00C50A86"/>
    <w:rsid w:val="00C50F98"/>
    <w:rsid w:val="00C51513"/>
    <w:rsid w:val="00C51B41"/>
    <w:rsid w:val="00C51E7B"/>
    <w:rsid w:val="00C5320F"/>
    <w:rsid w:val="00C537CC"/>
    <w:rsid w:val="00C53E42"/>
    <w:rsid w:val="00C547BA"/>
    <w:rsid w:val="00C54E9C"/>
    <w:rsid w:val="00C56839"/>
    <w:rsid w:val="00C568CE"/>
    <w:rsid w:val="00C56A9B"/>
    <w:rsid w:val="00C57332"/>
    <w:rsid w:val="00C57D83"/>
    <w:rsid w:val="00C61ED8"/>
    <w:rsid w:val="00C644F5"/>
    <w:rsid w:val="00C64CB9"/>
    <w:rsid w:val="00C65126"/>
    <w:rsid w:val="00C65558"/>
    <w:rsid w:val="00C6590A"/>
    <w:rsid w:val="00C66AAD"/>
    <w:rsid w:val="00C730AE"/>
    <w:rsid w:val="00C7334E"/>
    <w:rsid w:val="00C73447"/>
    <w:rsid w:val="00C73DB1"/>
    <w:rsid w:val="00C741E9"/>
    <w:rsid w:val="00C74825"/>
    <w:rsid w:val="00C74CBC"/>
    <w:rsid w:val="00C76FAA"/>
    <w:rsid w:val="00C8163F"/>
    <w:rsid w:val="00C8180A"/>
    <w:rsid w:val="00C81A10"/>
    <w:rsid w:val="00C83671"/>
    <w:rsid w:val="00C84D87"/>
    <w:rsid w:val="00C851A9"/>
    <w:rsid w:val="00C852F9"/>
    <w:rsid w:val="00C875A6"/>
    <w:rsid w:val="00C87CDB"/>
    <w:rsid w:val="00C90CDD"/>
    <w:rsid w:val="00C93274"/>
    <w:rsid w:val="00C937D2"/>
    <w:rsid w:val="00C96571"/>
    <w:rsid w:val="00C96D2E"/>
    <w:rsid w:val="00C973FB"/>
    <w:rsid w:val="00C9745F"/>
    <w:rsid w:val="00C97BF4"/>
    <w:rsid w:val="00CA14B9"/>
    <w:rsid w:val="00CA3135"/>
    <w:rsid w:val="00CA4287"/>
    <w:rsid w:val="00CA42AC"/>
    <w:rsid w:val="00CA4A14"/>
    <w:rsid w:val="00CA52A1"/>
    <w:rsid w:val="00CA5739"/>
    <w:rsid w:val="00CA6A72"/>
    <w:rsid w:val="00CA6D31"/>
    <w:rsid w:val="00CA75BE"/>
    <w:rsid w:val="00CB01F4"/>
    <w:rsid w:val="00CB05F4"/>
    <w:rsid w:val="00CB0F37"/>
    <w:rsid w:val="00CB1653"/>
    <w:rsid w:val="00CB1C83"/>
    <w:rsid w:val="00CB2118"/>
    <w:rsid w:val="00CB23FA"/>
    <w:rsid w:val="00CB3FDC"/>
    <w:rsid w:val="00CB44EE"/>
    <w:rsid w:val="00CB5AF8"/>
    <w:rsid w:val="00CB5C00"/>
    <w:rsid w:val="00CB5EED"/>
    <w:rsid w:val="00CB6227"/>
    <w:rsid w:val="00CB7423"/>
    <w:rsid w:val="00CB7B28"/>
    <w:rsid w:val="00CC18E6"/>
    <w:rsid w:val="00CC35D1"/>
    <w:rsid w:val="00CC3D33"/>
    <w:rsid w:val="00CC429B"/>
    <w:rsid w:val="00CC504C"/>
    <w:rsid w:val="00CC50AD"/>
    <w:rsid w:val="00CC5345"/>
    <w:rsid w:val="00CC5589"/>
    <w:rsid w:val="00CC7C38"/>
    <w:rsid w:val="00CC7D8C"/>
    <w:rsid w:val="00CD01BA"/>
    <w:rsid w:val="00CD15AC"/>
    <w:rsid w:val="00CD168E"/>
    <w:rsid w:val="00CD186A"/>
    <w:rsid w:val="00CD1891"/>
    <w:rsid w:val="00CD312D"/>
    <w:rsid w:val="00CD3337"/>
    <w:rsid w:val="00CD343C"/>
    <w:rsid w:val="00CD3F15"/>
    <w:rsid w:val="00CD521A"/>
    <w:rsid w:val="00CD6756"/>
    <w:rsid w:val="00CD6803"/>
    <w:rsid w:val="00CD70E7"/>
    <w:rsid w:val="00CE098C"/>
    <w:rsid w:val="00CE0DD1"/>
    <w:rsid w:val="00CE10FD"/>
    <w:rsid w:val="00CE2098"/>
    <w:rsid w:val="00CE355A"/>
    <w:rsid w:val="00CE3E77"/>
    <w:rsid w:val="00CE4B1B"/>
    <w:rsid w:val="00CE4D39"/>
    <w:rsid w:val="00CE5DAC"/>
    <w:rsid w:val="00CE7932"/>
    <w:rsid w:val="00CF1ADB"/>
    <w:rsid w:val="00CF29CE"/>
    <w:rsid w:val="00CF2A16"/>
    <w:rsid w:val="00CF3A03"/>
    <w:rsid w:val="00CF3A95"/>
    <w:rsid w:val="00CF543D"/>
    <w:rsid w:val="00CF553A"/>
    <w:rsid w:val="00CF5D27"/>
    <w:rsid w:val="00CF64A2"/>
    <w:rsid w:val="00CF6835"/>
    <w:rsid w:val="00CF6893"/>
    <w:rsid w:val="00CF6DF3"/>
    <w:rsid w:val="00D004C3"/>
    <w:rsid w:val="00D01466"/>
    <w:rsid w:val="00D01F31"/>
    <w:rsid w:val="00D021D8"/>
    <w:rsid w:val="00D03132"/>
    <w:rsid w:val="00D03FBB"/>
    <w:rsid w:val="00D04777"/>
    <w:rsid w:val="00D056ED"/>
    <w:rsid w:val="00D05D29"/>
    <w:rsid w:val="00D060AF"/>
    <w:rsid w:val="00D06E05"/>
    <w:rsid w:val="00D07691"/>
    <w:rsid w:val="00D10A61"/>
    <w:rsid w:val="00D11313"/>
    <w:rsid w:val="00D11BC7"/>
    <w:rsid w:val="00D11E50"/>
    <w:rsid w:val="00D121C6"/>
    <w:rsid w:val="00D1229F"/>
    <w:rsid w:val="00D12777"/>
    <w:rsid w:val="00D12B0E"/>
    <w:rsid w:val="00D14520"/>
    <w:rsid w:val="00D14791"/>
    <w:rsid w:val="00D1760C"/>
    <w:rsid w:val="00D179BB"/>
    <w:rsid w:val="00D21121"/>
    <w:rsid w:val="00D212DE"/>
    <w:rsid w:val="00D21A79"/>
    <w:rsid w:val="00D21F14"/>
    <w:rsid w:val="00D22442"/>
    <w:rsid w:val="00D22511"/>
    <w:rsid w:val="00D241CE"/>
    <w:rsid w:val="00D2439D"/>
    <w:rsid w:val="00D24C07"/>
    <w:rsid w:val="00D24D5D"/>
    <w:rsid w:val="00D26730"/>
    <w:rsid w:val="00D27A6F"/>
    <w:rsid w:val="00D27AF4"/>
    <w:rsid w:val="00D27EA3"/>
    <w:rsid w:val="00D301BF"/>
    <w:rsid w:val="00D30ABC"/>
    <w:rsid w:val="00D30BA4"/>
    <w:rsid w:val="00D31AAF"/>
    <w:rsid w:val="00D32056"/>
    <w:rsid w:val="00D32835"/>
    <w:rsid w:val="00D333A2"/>
    <w:rsid w:val="00D33578"/>
    <w:rsid w:val="00D344FA"/>
    <w:rsid w:val="00D34F29"/>
    <w:rsid w:val="00D35D57"/>
    <w:rsid w:val="00D36595"/>
    <w:rsid w:val="00D36D3F"/>
    <w:rsid w:val="00D37231"/>
    <w:rsid w:val="00D40EF2"/>
    <w:rsid w:val="00D419B5"/>
    <w:rsid w:val="00D41AAE"/>
    <w:rsid w:val="00D4306E"/>
    <w:rsid w:val="00D43367"/>
    <w:rsid w:val="00D43DD5"/>
    <w:rsid w:val="00D44A96"/>
    <w:rsid w:val="00D44B12"/>
    <w:rsid w:val="00D469A2"/>
    <w:rsid w:val="00D50244"/>
    <w:rsid w:val="00D50259"/>
    <w:rsid w:val="00D51645"/>
    <w:rsid w:val="00D537E6"/>
    <w:rsid w:val="00D53E79"/>
    <w:rsid w:val="00D54249"/>
    <w:rsid w:val="00D546FF"/>
    <w:rsid w:val="00D5484C"/>
    <w:rsid w:val="00D55B60"/>
    <w:rsid w:val="00D55E74"/>
    <w:rsid w:val="00D56BAC"/>
    <w:rsid w:val="00D56C42"/>
    <w:rsid w:val="00D5721E"/>
    <w:rsid w:val="00D57388"/>
    <w:rsid w:val="00D578EC"/>
    <w:rsid w:val="00D57D48"/>
    <w:rsid w:val="00D57E10"/>
    <w:rsid w:val="00D60B71"/>
    <w:rsid w:val="00D61BCD"/>
    <w:rsid w:val="00D622AE"/>
    <w:rsid w:val="00D63224"/>
    <w:rsid w:val="00D63E75"/>
    <w:rsid w:val="00D657B7"/>
    <w:rsid w:val="00D67513"/>
    <w:rsid w:val="00D675A9"/>
    <w:rsid w:val="00D709A6"/>
    <w:rsid w:val="00D71E74"/>
    <w:rsid w:val="00D72251"/>
    <w:rsid w:val="00D7262A"/>
    <w:rsid w:val="00D749E2"/>
    <w:rsid w:val="00D753AB"/>
    <w:rsid w:val="00D76067"/>
    <w:rsid w:val="00D76A55"/>
    <w:rsid w:val="00D77642"/>
    <w:rsid w:val="00D776E1"/>
    <w:rsid w:val="00D779C8"/>
    <w:rsid w:val="00D77A13"/>
    <w:rsid w:val="00D8068F"/>
    <w:rsid w:val="00D8098A"/>
    <w:rsid w:val="00D824A4"/>
    <w:rsid w:val="00D840F8"/>
    <w:rsid w:val="00D8414B"/>
    <w:rsid w:val="00D84317"/>
    <w:rsid w:val="00D85256"/>
    <w:rsid w:val="00D85A95"/>
    <w:rsid w:val="00D870F4"/>
    <w:rsid w:val="00D87761"/>
    <w:rsid w:val="00D87ECF"/>
    <w:rsid w:val="00D91407"/>
    <w:rsid w:val="00D91FAF"/>
    <w:rsid w:val="00D922C1"/>
    <w:rsid w:val="00D92B93"/>
    <w:rsid w:val="00D93263"/>
    <w:rsid w:val="00D938B7"/>
    <w:rsid w:val="00D944EF"/>
    <w:rsid w:val="00D946FF"/>
    <w:rsid w:val="00D94F98"/>
    <w:rsid w:val="00D956F0"/>
    <w:rsid w:val="00D95E37"/>
    <w:rsid w:val="00D9667D"/>
    <w:rsid w:val="00D96E88"/>
    <w:rsid w:val="00DA0F93"/>
    <w:rsid w:val="00DA110E"/>
    <w:rsid w:val="00DA12FF"/>
    <w:rsid w:val="00DA17D7"/>
    <w:rsid w:val="00DA2768"/>
    <w:rsid w:val="00DA34DD"/>
    <w:rsid w:val="00DA4054"/>
    <w:rsid w:val="00DA518E"/>
    <w:rsid w:val="00DA5240"/>
    <w:rsid w:val="00DA53DE"/>
    <w:rsid w:val="00DA5BFF"/>
    <w:rsid w:val="00DA5DFD"/>
    <w:rsid w:val="00DA6783"/>
    <w:rsid w:val="00DA70E1"/>
    <w:rsid w:val="00DA75BF"/>
    <w:rsid w:val="00DA7713"/>
    <w:rsid w:val="00DA795B"/>
    <w:rsid w:val="00DB17B4"/>
    <w:rsid w:val="00DB1B99"/>
    <w:rsid w:val="00DB1E1E"/>
    <w:rsid w:val="00DB2667"/>
    <w:rsid w:val="00DB28DF"/>
    <w:rsid w:val="00DB36D5"/>
    <w:rsid w:val="00DB3A36"/>
    <w:rsid w:val="00DB4C7F"/>
    <w:rsid w:val="00DB4E24"/>
    <w:rsid w:val="00DB571F"/>
    <w:rsid w:val="00DB5851"/>
    <w:rsid w:val="00DB7A73"/>
    <w:rsid w:val="00DC03EA"/>
    <w:rsid w:val="00DC06FC"/>
    <w:rsid w:val="00DC0E29"/>
    <w:rsid w:val="00DC113E"/>
    <w:rsid w:val="00DC14A6"/>
    <w:rsid w:val="00DC17CD"/>
    <w:rsid w:val="00DC181D"/>
    <w:rsid w:val="00DC1DC6"/>
    <w:rsid w:val="00DC27D4"/>
    <w:rsid w:val="00DC2A2E"/>
    <w:rsid w:val="00DC467D"/>
    <w:rsid w:val="00DC4925"/>
    <w:rsid w:val="00DC68D0"/>
    <w:rsid w:val="00DC6935"/>
    <w:rsid w:val="00DD092F"/>
    <w:rsid w:val="00DD0959"/>
    <w:rsid w:val="00DD09CF"/>
    <w:rsid w:val="00DD0BC5"/>
    <w:rsid w:val="00DD163C"/>
    <w:rsid w:val="00DD1AE0"/>
    <w:rsid w:val="00DD2E20"/>
    <w:rsid w:val="00DD2E70"/>
    <w:rsid w:val="00DD30AE"/>
    <w:rsid w:val="00DD32DA"/>
    <w:rsid w:val="00DD3467"/>
    <w:rsid w:val="00DD3ABC"/>
    <w:rsid w:val="00DD5155"/>
    <w:rsid w:val="00DD5189"/>
    <w:rsid w:val="00DD5A7A"/>
    <w:rsid w:val="00DD5B0A"/>
    <w:rsid w:val="00DD6E2B"/>
    <w:rsid w:val="00DD7BC7"/>
    <w:rsid w:val="00DD7E13"/>
    <w:rsid w:val="00DE0CBE"/>
    <w:rsid w:val="00DE11CA"/>
    <w:rsid w:val="00DE19C4"/>
    <w:rsid w:val="00DE2A39"/>
    <w:rsid w:val="00DE3ECE"/>
    <w:rsid w:val="00DE4A09"/>
    <w:rsid w:val="00DE4EDF"/>
    <w:rsid w:val="00DE5170"/>
    <w:rsid w:val="00DE53CD"/>
    <w:rsid w:val="00DE57C6"/>
    <w:rsid w:val="00DE5FC1"/>
    <w:rsid w:val="00DE6294"/>
    <w:rsid w:val="00DE6601"/>
    <w:rsid w:val="00DE68D6"/>
    <w:rsid w:val="00DE6B5B"/>
    <w:rsid w:val="00DE6CA8"/>
    <w:rsid w:val="00DE6EC1"/>
    <w:rsid w:val="00DE71EF"/>
    <w:rsid w:val="00DE781D"/>
    <w:rsid w:val="00DE78D2"/>
    <w:rsid w:val="00DE7B85"/>
    <w:rsid w:val="00DE7BE9"/>
    <w:rsid w:val="00DF0976"/>
    <w:rsid w:val="00DF10F9"/>
    <w:rsid w:val="00DF1320"/>
    <w:rsid w:val="00DF1DCE"/>
    <w:rsid w:val="00DF3B05"/>
    <w:rsid w:val="00DF4992"/>
    <w:rsid w:val="00DF4ECF"/>
    <w:rsid w:val="00DF5789"/>
    <w:rsid w:val="00DF5861"/>
    <w:rsid w:val="00DF6A08"/>
    <w:rsid w:val="00E00028"/>
    <w:rsid w:val="00E00663"/>
    <w:rsid w:val="00E00F17"/>
    <w:rsid w:val="00E014CE"/>
    <w:rsid w:val="00E01C2F"/>
    <w:rsid w:val="00E022EA"/>
    <w:rsid w:val="00E02908"/>
    <w:rsid w:val="00E0296D"/>
    <w:rsid w:val="00E04DF5"/>
    <w:rsid w:val="00E0500E"/>
    <w:rsid w:val="00E06664"/>
    <w:rsid w:val="00E0673E"/>
    <w:rsid w:val="00E06916"/>
    <w:rsid w:val="00E073CB"/>
    <w:rsid w:val="00E07DA0"/>
    <w:rsid w:val="00E07EEF"/>
    <w:rsid w:val="00E07F9D"/>
    <w:rsid w:val="00E12D64"/>
    <w:rsid w:val="00E13164"/>
    <w:rsid w:val="00E15424"/>
    <w:rsid w:val="00E2016F"/>
    <w:rsid w:val="00E20606"/>
    <w:rsid w:val="00E20E32"/>
    <w:rsid w:val="00E21941"/>
    <w:rsid w:val="00E2199F"/>
    <w:rsid w:val="00E21BDB"/>
    <w:rsid w:val="00E2299D"/>
    <w:rsid w:val="00E229CF"/>
    <w:rsid w:val="00E232D4"/>
    <w:rsid w:val="00E23867"/>
    <w:rsid w:val="00E23A7D"/>
    <w:rsid w:val="00E23F99"/>
    <w:rsid w:val="00E24070"/>
    <w:rsid w:val="00E25D1F"/>
    <w:rsid w:val="00E260DB"/>
    <w:rsid w:val="00E270AF"/>
    <w:rsid w:val="00E3085C"/>
    <w:rsid w:val="00E30D95"/>
    <w:rsid w:val="00E31EFB"/>
    <w:rsid w:val="00E33D00"/>
    <w:rsid w:val="00E34257"/>
    <w:rsid w:val="00E34EF3"/>
    <w:rsid w:val="00E36352"/>
    <w:rsid w:val="00E370FB"/>
    <w:rsid w:val="00E408AA"/>
    <w:rsid w:val="00E40F80"/>
    <w:rsid w:val="00E42273"/>
    <w:rsid w:val="00E42BB7"/>
    <w:rsid w:val="00E447D9"/>
    <w:rsid w:val="00E45A83"/>
    <w:rsid w:val="00E50027"/>
    <w:rsid w:val="00E50161"/>
    <w:rsid w:val="00E510FE"/>
    <w:rsid w:val="00E514A5"/>
    <w:rsid w:val="00E51623"/>
    <w:rsid w:val="00E51956"/>
    <w:rsid w:val="00E51A29"/>
    <w:rsid w:val="00E52682"/>
    <w:rsid w:val="00E52C2C"/>
    <w:rsid w:val="00E52F02"/>
    <w:rsid w:val="00E53558"/>
    <w:rsid w:val="00E53D06"/>
    <w:rsid w:val="00E54997"/>
    <w:rsid w:val="00E549A6"/>
    <w:rsid w:val="00E55143"/>
    <w:rsid w:val="00E55AF3"/>
    <w:rsid w:val="00E567CD"/>
    <w:rsid w:val="00E6055A"/>
    <w:rsid w:val="00E606D8"/>
    <w:rsid w:val="00E617AE"/>
    <w:rsid w:val="00E61D75"/>
    <w:rsid w:val="00E624B9"/>
    <w:rsid w:val="00E649B6"/>
    <w:rsid w:val="00E651A6"/>
    <w:rsid w:val="00E65387"/>
    <w:rsid w:val="00E65C14"/>
    <w:rsid w:val="00E6646D"/>
    <w:rsid w:val="00E67665"/>
    <w:rsid w:val="00E713E1"/>
    <w:rsid w:val="00E71C13"/>
    <w:rsid w:val="00E72675"/>
    <w:rsid w:val="00E72863"/>
    <w:rsid w:val="00E736BF"/>
    <w:rsid w:val="00E74259"/>
    <w:rsid w:val="00E7538B"/>
    <w:rsid w:val="00E75EEF"/>
    <w:rsid w:val="00E800E4"/>
    <w:rsid w:val="00E80814"/>
    <w:rsid w:val="00E812AE"/>
    <w:rsid w:val="00E818D6"/>
    <w:rsid w:val="00E81C8B"/>
    <w:rsid w:val="00E8219A"/>
    <w:rsid w:val="00E84510"/>
    <w:rsid w:val="00E84E14"/>
    <w:rsid w:val="00E86902"/>
    <w:rsid w:val="00E8704F"/>
    <w:rsid w:val="00E87356"/>
    <w:rsid w:val="00E908E1"/>
    <w:rsid w:val="00E90D0A"/>
    <w:rsid w:val="00E9124C"/>
    <w:rsid w:val="00E93836"/>
    <w:rsid w:val="00E94841"/>
    <w:rsid w:val="00E9536A"/>
    <w:rsid w:val="00E9548B"/>
    <w:rsid w:val="00E96E19"/>
    <w:rsid w:val="00EA0404"/>
    <w:rsid w:val="00EA2F6C"/>
    <w:rsid w:val="00EA42EE"/>
    <w:rsid w:val="00EA500C"/>
    <w:rsid w:val="00EA5069"/>
    <w:rsid w:val="00EA581E"/>
    <w:rsid w:val="00EA642A"/>
    <w:rsid w:val="00EA7799"/>
    <w:rsid w:val="00EB00FC"/>
    <w:rsid w:val="00EB07D2"/>
    <w:rsid w:val="00EB11D0"/>
    <w:rsid w:val="00EB2868"/>
    <w:rsid w:val="00EB54CF"/>
    <w:rsid w:val="00EB5CA1"/>
    <w:rsid w:val="00EB65E4"/>
    <w:rsid w:val="00EB6B48"/>
    <w:rsid w:val="00EC0CAF"/>
    <w:rsid w:val="00EC236F"/>
    <w:rsid w:val="00EC3044"/>
    <w:rsid w:val="00EC3522"/>
    <w:rsid w:val="00EC3914"/>
    <w:rsid w:val="00EC3FF1"/>
    <w:rsid w:val="00EC476D"/>
    <w:rsid w:val="00EC4BA8"/>
    <w:rsid w:val="00EC5478"/>
    <w:rsid w:val="00EC6898"/>
    <w:rsid w:val="00EC74C6"/>
    <w:rsid w:val="00ED1061"/>
    <w:rsid w:val="00ED1590"/>
    <w:rsid w:val="00ED1CB9"/>
    <w:rsid w:val="00ED203B"/>
    <w:rsid w:val="00ED2244"/>
    <w:rsid w:val="00ED33CD"/>
    <w:rsid w:val="00ED3A1C"/>
    <w:rsid w:val="00ED3FFA"/>
    <w:rsid w:val="00ED42A9"/>
    <w:rsid w:val="00ED50AE"/>
    <w:rsid w:val="00ED676B"/>
    <w:rsid w:val="00ED72A6"/>
    <w:rsid w:val="00ED7B04"/>
    <w:rsid w:val="00EE0FB3"/>
    <w:rsid w:val="00EE1158"/>
    <w:rsid w:val="00EE2F92"/>
    <w:rsid w:val="00EE42AC"/>
    <w:rsid w:val="00EE44BC"/>
    <w:rsid w:val="00EE59BC"/>
    <w:rsid w:val="00EE6F84"/>
    <w:rsid w:val="00EE7E6A"/>
    <w:rsid w:val="00EF00AD"/>
    <w:rsid w:val="00EF116A"/>
    <w:rsid w:val="00EF1939"/>
    <w:rsid w:val="00EF3D60"/>
    <w:rsid w:val="00EF4D5F"/>
    <w:rsid w:val="00EF59A0"/>
    <w:rsid w:val="00EF72DD"/>
    <w:rsid w:val="00EF7C11"/>
    <w:rsid w:val="00F008E0"/>
    <w:rsid w:val="00F01216"/>
    <w:rsid w:val="00F01778"/>
    <w:rsid w:val="00F019A6"/>
    <w:rsid w:val="00F02906"/>
    <w:rsid w:val="00F05084"/>
    <w:rsid w:val="00F055B4"/>
    <w:rsid w:val="00F055EA"/>
    <w:rsid w:val="00F05994"/>
    <w:rsid w:val="00F103AF"/>
    <w:rsid w:val="00F109A2"/>
    <w:rsid w:val="00F10B4D"/>
    <w:rsid w:val="00F11A07"/>
    <w:rsid w:val="00F11DEF"/>
    <w:rsid w:val="00F1274D"/>
    <w:rsid w:val="00F13036"/>
    <w:rsid w:val="00F1394A"/>
    <w:rsid w:val="00F13B07"/>
    <w:rsid w:val="00F15736"/>
    <w:rsid w:val="00F15B8D"/>
    <w:rsid w:val="00F1610E"/>
    <w:rsid w:val="00F1667C"/>
    <w:rsid w:val="00F17BB4"/>
    <w:rsid w:val="00F20064"/>
    <w:rsid w:val="00F20F82"/>
    <w:rsid w:val="00F22765"/>
    <w:rsid w:val="00F227A3"/>
    <w:rsid w:val="00F22D19"/>
    <w:rsid w:val="00F22E12"/>
    <w:rsid w:val="00F24133"/>
    <w:rsid w:val="00F24294"/>
    <w:rsid w:val="00F250F7"/>
    <w:rsid w:val="00F25676"/>
    <w:rsid w:val="00F25BBB"/>
    <w:rsid w:val="00F266B7"/>
    <w:rsid w:val="00F26DC5"/>
    <w:rsid w:val="00F27561"/>
    <w:rsid w:val="00F27CD1"/>
    <w:rsid w:val="00F304E8"/>
    <w:rsid w:val="00F30695"/>
    <w:rsid w:val="00F32098"/>
    <w:rsid w:val="00F32491"/>
    <w:rsid w:val="00F34987"/>
    <w:rsid w:val="00F35144"/>
    <w:rsid w:val="00F35C4C"/>
    <w:rsid w:val="00F35F4E"/>
    <w:rsid w:val="00F3756D"/>
    <w:rsid w:val="00F4109B"/>
    <w:rsid w:val="00F4129F"/>
    <w:rsid w:val="00F41E6F"/>
    <w:rsid w:val="00F42894"/>
    <w:rsid w:val="00F44276"/>
    <w:rsid w:val="00F444D1"/>
    <w:rsid w:val="00F447E7"/>
    <w:rsid w:val="00F44932"/>
    <w:rsid w:val="00F45602"/>
    <w:rsid w:val="00F46D44"/>
    <w:rsid w:val="00F47840"/>
    <w:rsid w:val="00F51383"/>
    <w:rsid w:val="00F5182C"/>
    <w:rsid w:val="00F51E2F"/>
    <w:rsid w:val="00F5202D"/>
    <w:rsid w:val="00F522F6"/>
    <w:rsid w:val="00F52CDB"/>
    <w:rsid w:val="00F53FAF"/>
    <w:rsid w:val="00F547EC"/>
    <w:rsid w:val="00F54D95"/>
    <w:rsid w:val="00F55773"/>
    <w:rsid w:val="00F5618B"/>
    <w:rsid w:val="00F61330"/>
    <w:rsid w:val="00F614AA"/>
    <w:rsid w:val="00F61ED3"/>
    <w:rsid w:val="00F62C76"/>
    <w:rsid w:val="00F63331"/>
    <w:rsid w:val="00F635EF"/>
    <w:rsid w:val="00F639B3"/>
    <w:rsid w:val="00F63B57"/>
    <w:rsid w:val="00F64239"/>
    <w:rsid w:val="00F64D03"/>
    <w:rsid w:val="00F652B9"/>
    <w:rsid w:val="00F66644"/>
    <w:rsid w:val="00F66A64"/>
    <w:rsid w:val="00F679A9"/>
    <w:rsid w:val="00F67EA7"/>
    <w:rsid w:val="00F70E0B"/>
    <w:rsid w:val="00F71041"/>
    <w:rsid w:val="00F717BD"/>
    <w:rsid w:val="00F71C9B"/>
    <w:rsid w:val="00F71D97"/>
    <w:rsid w:val="00F72346"/>
    <w:rsid w:val="00F74136"/>
    <w:rsid w:val="00F7464C"/>
    <w:rsid w:val="00F810D2"/>
    <w:rsid w:val="00F81640"/>
    <w:rsid w:val="00F81A6A"/>
    <w:rsid w:val="00F822E2"/>
    <w:rsid w:val="00F8367A"/>
    <w:rsid w:val="00F85880"/>
    <w:rsid w:val="00F869AB"/>
    <w:rsid w:val="00F86F1D"/>
    <w:rsid w:val="00F8707D"/>
    <w:rsid w:val="00F8721D"/>
    <w:rsid w:val="00F877EA"/>
    <w:rsid w:val="00F903DD"/>
    <w:rsid w:val="00F90E90"/>
    <w:rsid w:val="00F91CED"/>
    <w:rsid w:val="00F95427"/>
    <w:rsid w:val="00F967CE"/>
    <w:rsid w:val="00F96AAC"/>
    <w:rsid w:val="00F96EB0"/>
    <w:rsid w:val="00F97BF5"/>
    <w:rsid w:val="00FA0ABD"/>
    <w:rsid w:val="00FA297B"/>
    <w:rsid w:val="00FA2F91"/>
    <w:rsid w:val="00FA40F7"/>
    <w:rsid w:val="00FA4F0B"/>
    <w:rsid w:val="00FA550D"/>
    <w:rsid w:val="00FA5FBE"/>
    <w:rsid w:val="00FA61EB"/>
    <w:rsid w:val="00FA656A"/>
    <w:rsid w:val="00FA69DD"/>
    <w:rsid w:val="00FA70D5"/>
    <w:rsid w:val="00FA7D74"/>
    <w:rsid w:val="00FB0868"/>
    <w:rsid w:val="00FB1FF0"/>
    <w:rsid w:val="00FB237E"/>
    <w:rsid w:val="00FB3368"/>
    <w:rsid w:val="00FB4A9D"/>
    <w:rsid w:val="00FB51FE"/>
    <w:rsid w:val="00FC1288"/>
    <w:rsid w:val="00FC1F9A"/>
    <w:rsid w:val="00FC242C"/>
    <w:rsid w:val="00FC2970"/>
    <w:rsid w:val="00FC2A95"/>
    <w:rsid w:val="00FC2E25"/>
    <w:rsid w:val="00FC34F9"/>
    <w:rsid w:val="00FC6938"/>
    <w:rsid w:val="00FD00DD"/>
    <w:rsid w:val="00FD0383"/>
    <w:rsid w:val="00FD0C40"/>
    <w:rsid w:val="00FD197B"/>
    <w:rsid w:val="00FD1BCF"/>
    <w:rsid w:val="00FD21AB"/>
    <w:rsid w:val="00FD3189"/>
    <w:rsid w:val="00FD4697"/>
    <w:rsid w:val="00FD5082"/>
    <w:rsid w:val="00FD58AB"/>
    <w:rsid w:val="00FD5CF8"/>
    <w:rsid w:val="00FD609A"/>
    <w:rsid w:val="00FD70A6"/>
    <w:rsid w:val="00FD76B6"/>
    <w:rsid w:val="00FD7DCD"/>
    <w:rsid w:val="00FE2CA9"/>
    <w:rsid w:val="00FE33B5"/>
    <w:rsid w:val="00FE4CAC"/>
    <w:rsid w:val="00FE7E7D"/>
    <w:rsid w:val="00FF0BBE"/>
    <w:rsid w:val="00FF1CD6"/>
    <w:rsid w:val="00FF20B8"/>
    <w:rsid w:val="00FF2600"/>
    <w:rsid w:val="00FF293E"/>
    <w:rsid w:val="00FF425A"/>
    <w:rsid w:val="00FF52CA"/>
    <w:rsid w:val="00FF540E"/>
    <w:rsid w:val="00FF5AE5"/>
    <w:rsid w:val="00FF6187"/>
    <w:rsid w:val="00FF6695"/>
    <w:rsid w:val="00FF70E6"/>
    <w:rsid w:val="00FF7F37"/>
    <w:rsid w:val="01757D6C"/>
    <w:rsid w:val="01B67A50"/>
    <w:rsid w:val="01C603F3"/>
    <w:rsid w:val="026D5A4E"/>
    <w:rsid w:val="027F08F6"/>
    <w:rsid w:val="029C3C3D"/>
    <w:rsid w:val="02AF35B9"/>
    <w:rsid w:val="02DB5B22"/>
    <w:rsid w:val="02E2117E"/>
    <w:rsid w:val="02EF31FC"/>
    <w:rsid w:val="031D5029"/>
    <w:rsid w:val="031F5CB1"/>
    <w:rsid w:val="03423A5A"/>
    <w:rsid w:val="03745A07"/>
    <w:rsid w:val="038F6F0F"/>
    <w:rsid w:val="03B67A42"/>
    <w:rsid w:val="03BC3FA3"/>
    <w:rsid w:val="03CD7699"/>
    <w:rsid w:val="03D05B32"/>
    <w:rsid w:val="0403263B"/>
    <w:rsid w:val="042947BD"/>
    <w:rsid w:val="0453546B"/>
    <w:rsid w:val="04D75C17"/>
    <w:rsid w:val="04DF51E5"/>
    <w:rsid w:val="04F67264"/>
    <w:rsid w:val="05057FD0"/>
    <w:rsid w:val="054E0A7B"/>
    <w:rsid w:val="058118D7"/>
    <w:rsid w:val="05B6173B"/>
    <w:rsid w:val="05BA22D5"/>
    <w:rsid w:val="05EE13C9"/>
    <w:rsid w:val="05F525E4"/>
    <w:rsid w:val="05FE5366"/>
    <w:rsid w:val="0620398B"/>
    <w:rsid w:val="063548D6"/>
    <w:rsid w:val="065E0D7E"/>
    <w:rsid w:val="068F508F"/>
    <w:rsid w:val="06B16195"/>
    <w:rsid w:val="077B122A"/>
    <w:rsid w:val="07AE5867"/>
    <w:rsid w:val="07CA6A37"/>
    <w:rsid w:val="07FA45B7"/>
    <w:rsid w:val="08724C55"/>
    <w:rsid w:val="0880043F"/>
    <w:rsid w:val="09CE6E57"/>
    <w:rsid w:val="09FC6A4A"/>
    <w:rsid w:val="0A3F353B"/>
    <w:rsid w:val="0AC72D79"/>
    <w:rsid w:val="0B162392"/>
    <w:rsid w:val="0B4E4A5D"/>
    <w:rsid w:val="0B7D1AED"/>
    <w:rsid w:val="0C835496"/>
    <w:rsid w:val="0CE770D5"/>
    <w:rsid w:val="0CFB26C2"/>
    <w:rsid w:val="0D1D6ADC"/>
    <w:rsid w:val="0D3C1AAA"/>
    <w:rsid w:val="0D680BE0"/>
    <w:rsid w:val="0DA447BB"/>
    <w:rsid w:val="0DDE6EB8"/>
    <w:rsid w:val="0DFF388F"/>
    <w:rsid w:val="0E232C28"/>
    <w:rsid w:val="0E2E129C"/>
    <w:rsid w:val="0E574EDB"/>
    <w:rsid w:val="0E5C4985"/>
    <w:rsid w:val="0E7A5896"/>
    <w:rsid w:val="0EBC177A"/>
    <w:rsid w:val="0EEB6FFF"/>
    <w:rsid w:val="0F6760B8"/>
    <w:rsid w:val="0F6D010C"/>
    <w:rsid w:val="0F735BCE"/>
    <w:rsid w:val="105A72C5"/>
    <w:rsid w:val="107463E5"/>
    <w:rsid w:val="10C74658"/>
    <w:rsid w:val="10EF29DA"/>
    <w:rsid w:val="11D91672"/>
    <w:rsid w:val="11F25627"/>
    <w:rsid w:val="1234148C"/>
    <w:rsid w:val="12371A06"/>
    <w:rsid w:val="123C4ABE"/>
    <w:rsid w:val="13061A78"/>
    <w:rsid w:val="130F3B9D"/>
    <w:rsid w:val="133C6704"/>
    <w:rsid w:val="13630A49"/>
    <w:rsid w:val="13BD3F47"/>
    <w:rsid w:val="13D9596F"/>
    <w:rsid w:val="145427FA"/>
    <w:rsid w:val="14AC3604"/>
    <w:rsid w:val="14FD37CF"/>
    <w:rsid w:val="158445F0"/>
    <w:rsid w:val="158A5B65"/>
    <w:rsid w:val="164A6478"/>
    <w:rsid w:val="165E0F95"/>
    <w:rsid w:val="166516F8"/>
    <w:rsid w:val="16CB3D75"/>
    <w:rsid w:val="16FF3191"/>
    <w:rsid w:val="17077FD1"/>
    <w:rsid w:val="170A3665"/>
    <w:rsid w:val="17664E76"/>
    <w:rsid w:val="177C7763"/>
    <w:rsid w:val="17900032"/>
    <w:rsid w:val="17927295"/>
    <w:rsid w:val="17B14BF9"/>
    <w:rsid w:val="17CA36C8"/>
    <w:rsid w:val="17FB5A34"/>
    <w:rsid w:val="184360FD"/>
    <w:rsid w:val="189D479A"/>
    <w:rsid w:val="18BD7169"/>
    <w:rsid w:val="18D1647F"/>
    <w:rsid w:val="18D86D91"/>
    <w:rsid w:val="1908025D"/>
    <w:rsid w:val="19D6028A"/>
    <w:rsid w:val="19D878BC"/>
    <w:rsid w:val="19E77C11"/>
    <w:rsid w:val="19EF538C"/>
    <w:rsid w:val="19EF6927"/>
    <w:rsid w:val="1A0924D1"/>
    <w:rsid w:val="1A1C0FE1"/>
    <w:rsid w:val="1A88384B"/>
    <w:rsid w:val="1AD872CD"/>
    <w:rsid w:val="1AE70EEC"/>
    <w:rsid w:val="1B14076F"/>
    <w:rsid w:val="1B565609"/>
    <w:rsid w:val="1B5A4640"/>
    <w:rsid w:val="1BA81D0B"/>
    <w:rsid w:val="1BA82F7A"/>
    <w:rsid w:val="1C4D14DD"/>
    <w:rsid w:val="1C612B8E"/>
    <w:rsid w:val="1CEA7476"/>
    <w:rsid w:val="1CFC2CF4"/>
    <w:rsid w:val="1D8A7DED"/>
    <w:rsid w:val="1DAF4EEB"/>
    <w:rsid w:val="1DE975C0"/>
    <w:rsid w:val="1DF3679B"/>
    <w:rsid w:val="1DFB7351"/>
    <w:rsid w:val="1EF676C0"/>
    <w:rsid w:val="1F0C32E7"/>
    <w:rsid w:val="1F5910C8"/>
    <w:rsid w:val="1F5E0C8E"/>
    <w:rsid w:val="1F7603E0"/>
    <w:rsid w:val="1F8B42E9"/>
    <w:rsid w:val="1F974EC1"/>
    <w:rsid w:val="1FBF47A2"/>
    <w:rsid w:val="1FFE72CB"/>
    <w:rsid w:val="20113134"/>
    <w:rsid w:val="2017074E"/>
    <w:rsid w:val="20C133F8"/>
    <w:rsid w:val="20F54E29"/>
    <w:rsid w:val="212030D7"/>
    <w:rsid w:val="212874CF"/>
    <w:rsid w:val="213825F5"/>
    <w:rsid w:val="217A0581"/>
    <w:rsid w:val="217E667A"/>
    <w:rsid w:val="218D656F"/>
    <w:rsid w:val="21F93FD6"/>
    <w:rsid w:val="220723E7"/>
    <w:rsid w:val="221657FC"/>
    <w:rsid w:val="22486578"/>
    <w:rsid w:val="22575D40"/>
    <w:rsid w:val="22B537C3"/>
    <w:rsid w:val="22BB54C1"/>
    <w:rsid w:val="22CB180A"/>
    <w:rsid w:val="235653D0"/>
    <w:rsid w:val="235D2862"/>
    <w:rsid w:val="23A41D2F"/>
    <w:rsid w:val="23D42997"/>
    <w:rsid w:val="23DB32E7"/>
    <w:rsid w:val="23E915D2"/>
    <w:rsid w:val="24064469"/>
    <w:rsid w:val="240F3266"/>
    <w:rsid w:val="241B13FE"/>
    <w:rsid w:val="24661BDD"/>
    <w:rsid w:val="24716EF0"/>
    <w:rsid w:val="248E3FF4"/>
    <w:rsid w:val="249A411D"/>
    <w:rsid w:val="24CE08C5"/>
    <w:rsid w:val="252B59D4"/>
    <w:rsid w:val="256C6F17"/>
    <w:rsid w:val="26362C80"/>
    <w:rsid w:val="273C6F37"/>
    <w:rsid w:val="275B006D"/>
    <w:rsid w:val="27697725"/>
    <w:rsid w:val="277A4090"/>
    <w:rsid w:val="278A18F4"/>
    <w:rsid w:val="286A13F2"/>
    <w:rsid w:val="28780AC6"/>
    <w:rsid w:val="288E5833"/>
    <w:rsid w:val="28F42A99"/>
    <w:rsid w:val="293526AA"/>
    <w:rsid w:val="293F7FDE"/>
    <w:rsid w:val="295A2FA1"/>
    <w:rsid w:val="29A22701"/>
    <w:rsid w:val="29EC73A5"/>
    <w:rsid w:val="2A3A42FE"/>
    <w:rsid w:val="2AA10CE0"/>
    <w:rsid w:val="2AAD67A9"/>
    <w:rsid w:val="2B1271EB"/>
    <w:rsid w:val="2B2331EA"/>
    <w:rsid w:val="2B2E70E5"/>
    <w:rsid w:val="2BAE26FB"/>
    <w:rsid w:val="2BCD0AE0"/>
    <w:rsid w:val="2C134FE1"/>
    <w:rsid w:val="2C2514B1"/>
    <w:rsid w:val="2C3B6A04"/>
    <w:rsid w:val="2C3E2C4C"/>
    <w:rsid w:val="2C5021B7"/>
    <w:rsid w:val="2C8E561B"/>
    <w:rsid w:val="2C932C69"/>
    <w:rsid w:val="2C9F2A67"/>
    <w:rsid w:val="2D1A5BEB"/>
    <w:rsid w:val="2D227DC7"/>
    <w:rsid w:val="2D2845BC"/>
    <w:rsid w:val="2D2E73A1"/>
    <w:rsid w:val="2D956272"/>
    <w:rsid w:val="2D9C188C"/>
    <w:rsid w:val="2DC34A81"/>
    <w:rsid w:val="2DCF4D6D"/>
    <w:rsid w:val="2DD125B6"/>
    <w:rsid w:val="2E244107"/>
    <w:rsid w:val="2E510491"/>
    <w:rsid w:val="2E5A73E1"/>
    <w:rsid w:val="2E665884"/>
    <w:rsid w:val="2E974B67"/>
    <w:rsid w:val="2EDD3BF4"/>
    <w:rsid w:val="2F544FF2"/>
    <w:rsid w:val="2F6B678F"/>
    <w:rsid w:val="2FD70501"/>
    <w:rsid w:val="303D703D"/>
    <w:rsid w:val="30DB62B6"/>
    <w:rsid w:val="31067F47"/>
    <w:rsid w:val="31167EA0"/>
    <w:rsid w:val="311878A1"/>
    <w:rsid w:val="311D4032"/>
    <w:rsid w:val="31637517"/>
    <w:rsid w:val="31AD08B7"/>
    <w:rsid w:val="31B27A3B"/>
    <w:rsid w:val="31ED2820"/>
    <w:rsid w:val="32024F1D"/>
    <w:rsid w:val="325038E7"/>
    <w:rsid w:val="328525EA"/>
    <w:rsid w:val="32CE29C2"/>
    <w:rsid w:val="32DF309E"/>
    <w:rsid w:val="3322684B"/>
    <w:rsid w:val="33625EAA"/>
    <w:rsid w:val="337F0FF3"/>
    <w:rsid w:val="33EF36DB"/>
    <w:rsid w:val="33FB645A"/>
    <w:rsid w:val="345C616D"/>
    <w:rsid w:val="345E27C4"/>
    <w:rsid w:val="34843BE5"/>
    <w:rsid w:val="348557BD"/>
    <w:rsid w:val="34BD4B51"/>
    <w:rsid w:val="34E872EB"/>
    <w:rsid w:val="35075E5A"/>
    <w:rsid w:val="350E36C5"/>
    <w:rsid w:val="354C2118"/>
    <w:rsid w:val="35610790"/>
    <w:rsid w:val="35612591"/>
    <w:rsid w:val="35887B8D"/>
    <w:rsid w:val="35AE4476"/>
    <w:rsid w:val="35B03D92"/>
    <w:rsid w:val="35CE11B2"/>
    <w:rsid w:val="36154C88"/>
    <w:rsid w:val="36252C67"/>
    <w:rsid w:val="368F0B09"/>
    <w:rsid w:val="369A4027"/>
    <w:rsid w:val="369A739E"/>
    <w:rsid w:val="37395321"/>
    <w:rsid w:val="374227A0"/>
    <w:rsid w:val="37683313"/>
    <w:rsid w:val="37853041"/>
    <w:rsid w:val="379E4C02"/>
    <w:rsid w:val="37C5232F"/>
    <w:rsid w:val="38F94A57"/>
    <w:rsid w:val="392B2444"/>
    <w:rsid w:val="395846F2"/>
    <w:rsid w:val="39C74071"/>
    <w:rsid w:val="39E130BC"/>
    <w:rsid w:val="3A4B78A6"/>
    <w:rsid w:val="3A5A7B55"/>
    <w:rsid w:val="3ABE28CC"/>
    <w:rsid w:val="3B0C3412"/>
    <w:rsid w:val="3B257775"/>
    <w:rsid w:val="3B4646D5"/>
    <w:rsid w:val="3B4F0D0C"/>
    <w:rsid w:val="3B540375"/>
    <w:rsid w:val="3BDC7581"/>
    <w:rsid w:val="3C083874"/>
    <w:rsid w:val="3C552BBD"/>
    <w:rsid w:val="3C6476E4"/>
    <w:rsid w:val="3C671A8F"/>
    <w:rsid w:val="3C7D6764"/>
    <w:rsid w:val="3CDD209D"/>
    <w:rsid w:val="3D244AC1"/>
    <w:rsid w:val="3D9C262D"/>
    <w:rsid w:val="3DFB14A1"/>
    <w:rsid w:val="3E035B0F"/>
    <w:rsid w:val="3E5842FE"/>
    <w:rsid w:val="3E5D4364"/>
    <w:rsid w:val="3ECA596B"/>
    <w:rsid w:val="3F2E38A2"/>
    <w:rsid w:val="3F551B15"/>
    <w:rsid w:val="3FBB6142"/>
    <w:rsid w:val="3FDE44DC"/>
    <w:rsid w:val="40291232"/>
    <w:rsid w:val="4031316B"/>
    <w:rsid w:val="407903DC"/>
    <w:rsid w:val="408706D3"/>
    <w:rsid w:val="40D05741"/>
    <w:rsid w:val="40F55A84"/>
    <w:rsid w:val="40FA7E49"/>
    <w:rsid w:val="41771B49"/>
    <w:rsid w:val="421A2073"/>
    <w:rsid w:val="422148CB"/>
    <w:rsid w:val="426D1F05"/>
    <w:rsid w:val="429574BD"/>
    <w:rsid w:val="42B60A09"/>
    <w:rsid w:val="434D6210"/>
    <w:rsid w:val="43507DFC"/>
    <w:rsid w:val="4357075F"/>
    <w:rsid w:val="43732951"/>
    <w:rsid w:val="43A01BC0"/>
    <w:rsid w:val="43C1218D"/>
    <w:rsid w:val="43D24560"/>
    <w:rsid w:val="43F80860"/>
    <w:rsid w:val="44523F0B"/>
    <w:rsid w:val="447B7CC7"/>
    <w:rsid w:val="44CB1ED8"/>
    <w:rsid w:val="44D04950"/>
    <w:rsid w:val="451633F6"/>
    <w:rsid w:val="457E334B"/>
    <w:rsid w:val="46080375"/>
    <w:rsid w:val="4639421E"/>
    <w:rsid w:val="46857785"/>
    <w:rsid w:val="46887A7D"/>
    <w:rsid w:val="46C6375A"/>
    <w:rsid w:val="470914ED"/>
    <w:rsid w:val="4717429E"/>
    <w:rsid w:val="477A7EBA"/>
    <w:rsid w:val="477B4092"/>
    <w:rsid w:val="48512772"/>
    <w:rsid w:val="48514EDE"/>
    <w:rsid w:val="485C4777"/>
    <w:rsid w:val="487D4232"/>
    <w:rsid w:val="48D616D5"/>
    <w:rsid w:val="490B4AEA"/>
    <w:rsid w:val="49514122"/>
    <w:rsid w:val="49D87443"/>
    <w:rsid w:val="4A1608FD"/>
    <w:rsid w:val="4A2D0A01"/>
    <w:rsid w:val="4AB13666"/>
    <w:rsid w:val="4ADD5148"/>
    <w:rsid w:val="4AE41E96"/>
    <w:rsid w:val="4B3A109F"/>
    <w:rsid w:val="4B7F53EA"/>
    <w:rsid w:val="4B9107F9"/>
    <w:rsid w:val="4B9E34D5"/>
    <w:rsid w:val="4BB20856"/>
    <w:rsid w:val="4BCB2534"/>
    <w:rsid w:val="4BD166D8"/>
    <w:rsid w:val="4BE776C6"/>
    <w:rsid w:val="4C011848"/>
    <w:rsid w:val="4C044814"/>
    <w:rsid w:val="4C1A2BA0"/>
    <w:rsid w:val="4C1D581B"/>
    <w:rsid w:val="4C29373A"/>
    <w:rsid w:val="4C2E6D51"/>
    <w:rsid w:val="4C4174A2"/>
    <w:rsid w:val="4C585A0F"/>
    <w:rsid w:val="4C7A4FA0"/>
    <w:rsid w:val="4CF96382"/>
    <w:rsid w:val="4D3C3A61"/>
    <w:rsid w:val="4D4E063D"/>
    <w:rsid w:val="4D790B90"/>
    <w:rsid w:val="4DE04487"/>
    <w:rsid w:val="4DF254C6"/>
    <w:rsid w:val="4E380C6E"/>
    <w:rsid w:val="4E4C53B9"/>
    <w:rsid w:val="4E5530AA"/>
    <w:rsid w:val="4E5F400D"/>
    <w:rsid w:val="4F33111A"/>
    <w:rsid w:val="4F7751AF"/>
    <w:rsid w:val="4F940184"/>
    <w:rsid w:val="4FEF57D7"/>
    <w:rsid w:val="50017646"/>
    <w:rsid w:val="500C4858"/>
    <w:rsid w:val="502B04BF"/>
    <w:rsid w:val="503D42C7"/>
    <w:rsid w:val="50E40C87"/>
    <w:rsid w:val="50FB6272"/>
    <w:rsid w:val="510328D8"/>
    <w:rsid w:val="51072832"/>
    <w:rsid w:val="51230246"/>
    <w:rsid w:val="51A21C47"/>
    <w:rsid w:val="51A60B4C"/>
    <w:rsid w:val="51C439CB"/>
    <w:rsid w:val="51F356C8"/>
    <w:rsid w:val="52052024"/>
    <w:rsid w:val="520E1F51"/>
    <w:rsid w:val="520F6A58"/>
    <w:rsid w:val="52107A7E"/>
    <w:rsid w:val="52306A34"/>
    <w:rsid w:val="52535DFD"/>
    <w:rsid w:val="525C12CD"/>
    <w:rsid w:val="525F2EBE"/>
    <w:rsid w:val="5262211C"/>
    <w:rsid w:val="526C7972"/>
    <w:rsid w:val="52C35E78"/>
    <w:rsid w:val="530B5910"/>
    <w:rsid w:val="530C3352"/>
    <w:rsid w:val="531D707B"/>
    <w:rsid w:val="53341DDA"/>
    <w:rsid w:val="53497F05"/>
    <w:rsid w:val="53871202"/>
    <w:rsid w:val="53AF6DF2"/>
    <w:rsid w:val="53C15842"/>
    <w:rsid w:val="541C4E2F"/>
    <w:rsid w:val="542157DA"/>
    <w:rsid w:val="54284764"/>
    <w:rsid w:val="5470418F"/>
    <w:rsid w:val="54DE744F"/>
    <w:rsid w:val="54E50447"/>
    <w:rsid w:val="55456B70"/>
    <w:rsid w:val="555B1B85"/>
    <w:rsid w:val="55750D6B"/>
    <w:rsid w:val="559669A1"/>
    <w:rsid w:val="55C228D3"/>
    <w:rsid w:val="55FF5FDA"/>
    <w:rsid w:val="56017B32"/>
    <w:rsid w:val="560C4EB1"/>
    <w:rsid w:val="560D1E89"/>
    <w:rsid w:val="567E091F"/>
    <w:rsid w:val="56933E7B"/>
    <w:rsid w:val="56CB0123"/>
    <w:rsid w:val="57401D39"/>
    <w:rsid w:val="577416FB"/>
    <w:rsid w:val="5782176E"/>
    <w:rsid w:val="57A22507"/>
    <w:rsid w:val="57E93E2C"/>
    <w:rsid w:val="57F40DD1"/>
    <w:rsid w:val="57FC26EC"/>
    <w:rsid w:val="58085963"/>
    <w:rsid w:val="5829098B"/>
    <w:rsid w:val="58EA3588"/>
    <w:rsid w:val="58FA668E"/>
    <w:rsid w:val="59015042"/>
    <w:rsid w:val="59FF561A"/>
    <w:rsid w:val="5A285312"/>
    <w:rsid w:val="5A6D1A7D"/>
    <w:rsid w:val="5A70455A"/>
    <w:rsid w:val="5A71640A"/>
    <w:rsid w:val="5A982F4B"/>
    <w:rsid w:val="5ACA6B16"/>
    <w:rsid w:val="5AED5059"/>
    <w:rsid w:val="5B055EEB"/>
    <w:rsid w:val="5B0B6244"/>
    <w:rsid w:val="5B2979FC"/>
    <w:rsid w:val="5B3D39D4"/>
    <w:rsid w:val="5B532804"/>
    <w:rsid w:val="5B96130A"/>
    <w:rsid w:val="5C4573A4"/>
    <w:rsid w:val="5C5D5374"/>
    <w:rsid w:val="5C6B2AB9"/>
    <w:rsid w:val="5C975A0D"/>
    <w:rsid w:val="5C992482"/>
    <w:rsid w:val="5CCA41B3"/>
    <w:rsid w:val="5CD77D14"/>
    <w:rsid w:val="5CDF3D0B"/>
    <w:rsid w:val="5D57303F"/>
    <w:rsid w:val="5D7A07D2"/>
    <w:rsid w:val="5DCC51F1"/>
    <w:rsid w:val="5E036F3A"/>
    <w:rsid w:val="5E236935"/>
    <w:rsid w:val="5E347057"/>
    <w:rsid w:val="5E425C3D"/>
    <w:rsid w:val="5E6A7CB4"/>
    <w:rsid w:val="5EA24574"/>
    <w:rsid w:val="5EC048E4"/>
    <w:rsid w:val="5EF36D0A"/>
    <w:rsid w:val="5F430A12"/>
    <w:rsid w:val="5F941BE9"/>
    <w:rsid w:val="5FE90D26"/>
    <w:rsid w:val="60390B97"/>
    <w:rsid w:val="60661647"/>
    <w:rsid w:val="60B976A3"/>
    <w:rsid w:val="60D34072"/>
    <w:rsid w:val="61722B2B"/>
    <w:rsid w:val="62594DDD"/>
    <w:rsid w:val="6271555C"/>
    <w:rsid w:val="628932D3"/>
    <w:rsid w:val="62AB1EEE"/>
    <w:rsid w:val="63293329"/>
    <w:rsid w:val="632A47AA"/>
    <w:rsid w:val="63366193"/>
    <w:rsid w:val="63466990"/>
    <w:rsid w:val="637412F7"/>
    <w:rsid w:val="63A42748"/>
    <w:rsid w:val="63E56AA5"/>
    <w:rsid w:val="63F41D83"/>
    <w:rsid w:val="640F0F63"/>
    <w:rsid w:val="642C1829"/>
    <w:rsid w:val="642C510C"/>
    <w:rsid w:val="64325DFA"/>
    <w:rsid w:val="647B1063"/>
    <w:rsid w:val="64E35139"/>
    <w:rsid w:val="65111481"/>
    <w:rsid w:val="652A3D62"/>
    <w:rsid w:val="65767563"/>
    <w:rsid w:val="659348BD"/>
    <w:rsid w:val="65C72DCF"/>
    <w:rsid w:val="65EE2AFE"/>
    <w:rsid w:val="65F02759"/>
    <w:rsid w:val="66300EA3"/>
    <w:rsid w:val="664B4A49"/>
    <w:rsid w:val="666530BD"/>
    <w:rsid w:val="668B7764"/>
    <w:rsid w:val="66AC046D"/>
    <w:rsid w:val="67387A67"/>
    <w:rsid w:val="67575A8D"/>
    <w:rsid w:val="67B12081"/>
    <w:rsid w:val="67BF6B6F"/>
    <w:rsid w:val="67DE26FC"/>
    <w:rsid w:val="67F46052"/>
    <w:rsid w:val="68644FB0"/>
    <w:rsid w:val="6867292C"/>
    <w:rsid w:val="68EB1DD2"/>
    <w:rsid w:val="68F06AD4"/>
    <w:rsid w:val="69181BD9"/>
    <w:rsid w:val="69231DD9"/>
    <w:rsid w:val="695F6E2D"/>
    <w:rsid w:val="69992D2E"/>
    <w:rsid w:val="69A41AEF"/>
    <w:rsid w:val="69BC61FD"/>
    <w:rsid w:val="69F93FC7"/>
    <w:rsid w:val="6A0771B6"/>
    <w:rsid w:val="6A1F03EC"/>
    <w:rsid w:val="6A505E2F"/>
    <w:rsid w:val="6A894111"/>
    <w:rsid w:val="6AAE1F9D"/>
    <w:rsid w:val="6AD420B4"/>
    <w:rsid w:val="6B155E6C"/>
    <w:rsid w:val="6B8B0EDA"/>
    <w:rsid w:val="6BB45044"/>
    <w:rsid w:val="6BF42D98"/>
    <w:rsid w:val="6C371D38"/>
    <w:rsid w:val="6C696AEF"/>
    <w:rsid w:val="6C7527A8"/>
    <w:rsid w:val="6C9A5C8A"/>
    <w:rsid w:val="6C9B5D7E"/>
    <w:rsid w:val="6CC3286D"/>
    <w:rsid w:val="6CD00A4A"/>
    <w:rsid w:val="6CE358B6"/>
    <w:rsid w:val="6D21445E"/>
    <w:rsid w:val="6D346135"/>
    <w:rsid w:val="6D4754F7"/>
    <w:rsid w:val="6D4E1456"/>
    <w:rsid w:val="6D8E3146"/>
    <w:rsid w:val="6E5505E5"/>
    <w:rsid w:val="6EB72CA6"/>
    <w:rsid w:val="6EE97800"/>
    <w:rsid w:val="6F357F71"/>
    <w:rsid w:val="6F613C82"/>
    <w:rsid w:val="6F8B2BA3"/>
    <w:rsid w:val="6F92196C"/>
    <w:rsid w:val="6FA808C0"/>
    <w:rsid w:val="6FB87F9A"/>
    <w:rsid w:val="7056535F"/>
    <w:rsid w:val="708625C4"/>
    <w:rsid w:val="70A873C2"/>
    <w:rsid w:val="70B94E05"/>
    <w:rsid w:val="70C861EE"/>
    <w:rsid w:val="70E96186"/>
    <w:rsid w:val="71483F36"/>
    <w:rsid w:val="714A72CE"/>
    <w:rsid w:val="71607375"/>
    <w:rsid w:val="72286570"/>
    <w:rsid w:val="722B259E"/>
    <w:rsid w:val="724D243B"/>
    <w:rsid w:val="72516958"/>
    <w:rsid w:val="72781833"/>
    <w:rsid w:val="727E5BD4"/>
    <w:rsid w:val="72B13D47"/>
    <w:rsid w:val="730C4052"/>
    <w:rsid w:val="73775D00"/>
    <w:rsid w:val="73BD4A44"/>
    <w:rsid w:val="73BF3D93"/>
    <w:rsid w:val="73DB1909"/>
    <w:rsid w:val="73E44651"/>
    <w:rsid w:val="742D247D"/>
    <w:rsid w:val="74922A45"/>
    <w:rsid w:val="74DE3AC0"/>
    <w:rsid w:val="74E35816"/>
    <w:rsid w:val="74F3159E"/>
    <w:rsid w:val="752F25FD"/>
    <w:rsid w:val="754438E2"/>
    <w:rsid w:val="756B2F29"/>
    <w:rsid w:val="75B8697D"/>
    <w:rsid w:val="75E176F0"/>
    <w:rsid w:val="760859F0"/>
    <w:rsid w:val="762828AA"/>
    <w:rsid w:val="76483F8A"/>
    <w:rsid w:val="7669422C"/>
    <w:rsid w:val="76A2773F"/>
    <w:rsid w:val="76B00445"/>
    <w:rsid w:val="76BB4582"/>
    <w:rsid w:val="772877DD"/>
    <w:rsid w:val="773410EC"/>
    <w:rsid w:val="77C316A6"/>
    <w:rsid w:val="780A11D3"/>
    <w:rsid w:val="784D7779"/>
    <w:rsid w:val="78BF4C03"/>
    <w:rsid w:val="78E801F3"/>
    <w:rsid w:val="793346B0"/>
    <w:rsid w:val="79864A5B"/>
    <w:rsid w:val="799668CF"/>
    <w:rsid w:val="79C73CD9"/>
    <w:rsid w:val="79CA729C"/>
    <w:rsid w:val="79CB7624"/>
    <w:rsid w:val="79DB5CC4"/>
    <w:rsid w:val="79EE7A68"/>
    <w:rsid w:val="7A806D0F"/>
    <w:rsid w:val="7AEE3F26"/>
    <w:rsid w:val="7B985B8F"/>
    <w:rsid w:val="7BC24A25"/>
    <w:rsid w:val="7BCB7049"/>
    <w:rsid w:val="7C1750A0"/>
    <w:rsid w:val="7C251E94"/>
    <w:rsid w:val="7C656269"/>
    <w:rsid w:val="7CBF4EBE"/>
    <w:rsid w:val="7CF94473"/>
    <w:rsid w:val="7D0C7BFF"/>
    <w:rsid w:val="7D144545"/>
    <w:rsid w:val="7D4B6BE2"/>
    <w:rsid w:val="7D8446CF"/>
    <w:rsid w:val="7DDB7472"/>
    <w:rsid w:val="7DE06ED6"/>
    <w:rsid w:val="7E127936"/>
    <w:rsid w:val="7E2E0971"/>
    <w:rsid w:val="7E374363"/>
    <w:rsid w:val="7EC3172A"/>
    <w:rsid w:val="7ECE3578"/>
    <w:rsid w:val="7EF265F5"/>
    <w:rsid w:val="7F3A2A76"/>
    <w:rsid w:val="7F6C1DC8"/>
    <w:rsid w:val="7FC655DB"/>
    <w:rsid w:val="7FCB445E"/>
    <w:rsid w:val="7FCB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left="50" w:right="62" w:hanging="50" w:hangingChars="5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1"/>
    <w:qFormat/>
    <w:uiPriority w:val="0"/>
    <w:pPr>
      <w:keepNext/>
      <w:keepLines/>
      <w:pageBreakBefore/>
      <w:numPr>
        <w:ilvl w:val="0"/>
        <w:numId w:val="1"/>
      </w:numPr>
      <w:adjustRightInd w:val="0"/>
      <w:spacing w:before="340" w:after="330" w:line="900" w:lineRule="exact"/>
      <w:jc w:val="center"/>
      <w:outlineLvl w:val="0"/>
    </w:pPr>
    <w:rPr>
      <w:b/>
      <w:kern w:val="44"/>
      <w:sz w:val="32"/>
      <w:szCs w:val="20"/>
    </w:rPr>
  </w:style>
  <w:style w:type="paragraph" w:styleId="4">
    <w:name w:val="heading 2"/>
    <w:basedOn w:val="1"/>
    <w:next w:val="1"/>
    <w:qFormat/>
    <w:uiPriority w:val="0"/>
    <w:pPr>
      <w:keepNext/>
      <w:keepLines/>
      <w:spacing w:before="260" w:after="260" w:line="800" w:lineRule="exact"/>
      <w:jc w:val="center"/>
      <w:outlineLvl w:val="1"/>
    </w:pPr>
    <w:rPr>
      <w:b/>
      <w:bCs/>
      <w:sz w:val="30"/>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numPr>
        <w:ilvl w:val="3"/>
        <w:numId w:val="2"/>
      </w:numPr>
      <w:tabs>
        <w:tab w:val="left" w:pos="425"/>
      </w:tabs>
      <w:spacing w:before="280" w:after="290" w:line="376" w:lineRule="auto"/>
      <w:outlineLvl w:val="3"/>
    </w:pPr>
    <w:rPr>
      <w:rFonts w:ascii="Arial" w:hAnsi="Arial" w:eastAsia="黑体"/>
      <w:b/>
      <w:bCs/>
      <w:sz w:val="28"/>
      <w:szCs w:val="28"/>
    </w:rPr>
  </w:style>
  <w:style w:type="paragraph" w:styleId="7">
    <w:name w:val="heading 5"/>
    <w:basedOn w:val="8"/>
    <w:next w:val="9"/>
    <w:qFormat/>
    <w:uiPriority w:val="0"/>
    <w:pPr>
      <w:outlineLvl w:val="4"/>
    </w:pPr>
  </w:style>
  <w:style w:type="paragraph" w:styleId="10">
    <w:name w:val="heading 6"/>
    <w:basedOn w:val="8"/>
    <w:next w:val="9"/>
    <w:qFormat/>
    <w:uiPriority w:val="0"/>
    <w:pPr>
      <w:outlineLvl w:val="5"/>
    </w:pPr>
    <w:rPr>
      <w:i/>
    </w:rPr>
  </w:style>
  <w:style w:type="paragraph" w:styleId="11">
    <w:name w:val="heading 7"/>
    <w:basedOn w:val="8"/>
    <w:next w:val="9"/>
    <w:qFormat/>
    <w:uiPriority w:val="0"/>
    <w:pPr>
      <w:ind w:firstLine="360"/>
      <w:outlineLvl w:val="6"/>
    </w:pPr>
    <w:rPr>
      <w:smallCaps/>
      <w:sz w:val="23"/>
    </w:rPr>
  </w:style>
  <w:style w:type="paragraph" w:styleId="12">
    <w:name w:val="heading 8"/>
    <w:basedOn w:val="8"/>
    <w:next w:val="9"/>
    <w:qFormat/>
    <w:uiPriority w:val="0"/>
    <w:pPr>
      <w:ind w:firstLine="360"/>
      <w:outlineLvl w:val="7"/>
    </w:pPr>
    <w:rPr>
      <w:i/>
    </w:rPr>
  </w:style>
  <w:style w:type="paragraph" w:styleId="13">
    <w:name w:val="heading 9"/>
    <w:basedOn w:val="8"/>
    <w:next w:val="9"/>
    <w:qFormat/>
    <w:uiPriority w:val="0"/>
    <w:pPr>
      <w:outlineLvl w:val="8"/>
    </w:pPr>
  </w:style>
  <w:style w:type="character" w:default="1" w:styleId="72">
    <w:name w:val="Default Paragraph Font"/>
    <w:semiHidden/>
    <w:unhideWhenUsed/>
    <w:qFormat/>
    <w:uiPriority w:val="1"/>
  </w:style>
  <w:style w:type="table" w:default="1" w:styleId="70">
    <w:name w:val="Normal Table"/>
    <w:semiHidden/>
    <w:unhideWhenUsed/>
    <w:qFormat/>
    <w:uiPriority w:val="99"/>
    <w:tblPr>
      <w:tblCellMar>
        <w:top w:w="0" w:type="dxa"/>
        <w:left w:w="108" w:type="dxa"/>
        <w:bottom w:w="0" w:type="dxa"/>
        <w:right w:w="108" w:type="dxa"/>
      </w:tblCellMar>
    </w:tblPr>
  </w:style>
  <w:style w:type="paragraph" w:customStyle="1" w:styleId="2">
    <w:name w:val="_Style 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Heading Base"/>
    <w:basedOn w:val="9"/>
    <w:next w:val="9"/>
    <w:qFormat/>
    <w:uiPriority w:val="0"/>
    <w:pPr>
      <w:keepNext/>
      <w:keepLines/>
      <w:widowControl/>
      <w:overflowPunct w:val="0"/>
      <w:autoSpaceDE w:val="0"/>
      <w:autoSpaceDN w:val="0"/>
      <w:spacing w:after="0" w:line="240" w:lineRule="atLeast"/>
      <w:jc w:val="left"/>
      <w:textAlignment w:val="baseline"/>
    </w:pPr>
    <w:rPr>
      <w:rFonts w:ascii="Garamond" w:hAnsi="Garamond"/>
      <w:kern w:val="20"/>
      <w:sz w:val="20"/>
    </w:rPr>
  </w:style>
  <w:style w:type="paragraph" w:styleId="9">
    <w:name w:val="Body Text"/>
    <w:basedOn w:val="1"/>
    <w:next w:val="1"/>
    <w:qFormat/>
    <w:uiPriority w:val="0"/>
    <w:pPr>
      <w:adjustRightInd w:val="0"/>
      <w:spacing w:after="120" w:line="312" w:lineRule="atLeast"/>
    </w:pPr>
    <w:rPr>
      <w:kern w:val="0"/>
      <w:sz w:val="24"/>
      <w:szCs w:val="20"/>
    </w:rPr>
  </w:style>
  <w:style w:type="paragraph" w:styleId="14">
    <w:name w:val="List 3"/>
    <w:basedOn w:val="15"/>
    <w:qFormat/>
    <w:uiPriority w:val="0"/>
    <w:pPr>
      <w:widowControl/>
      <w:overflowPunct w:val="0"/>
      <w:autoSpaceDE w:val="0"/>
      <w:autoSpaceDN w:val="0"/>
      <w:spacing w:after="240" w:line="240" w:lineRule="atLeast"/>
      <w:ind w:left="1440" w:hanging="360"/>
    </w:pPr>
    <w:rPr>
      <w:rFonts w:ascii="Garamond" w:hAnsi="Garamond"/>
      <w:kern w:val="18"/>
      <w:sz w:val="20"/>
    </w:rPr>
  </w:style>
  <w:style w:type="paragraph" w:styleId="15">
    <w:name w:val="List"/>
    <w:basedOn w:val="1"/>
    <w:qFormat/>
    <w:uiPriority w:val="0"/>
    <w:pPr>
      <w:adjustRightInd w:val="0"/>
      <w:spacing w:line="312" w:lineRule="atLeast"/>
      <w:ind w:left="420" w:hanging="420"/>
      <w:textAlignment w:val="baseline"/>
    </w:pPr>
    <w:rPr>
      <w:kern w:val="0"/>
      <w:szCs w:val="20"/>
    </w:rPr>
  </w:style>
  <w:style w:type="paragraph" w:styleId="16">
    <w:name w:val="List Number 2"/>
    <w:basedOn w:val="17"/>
    <w:qFormat/>
    <w:uiPriority w:val="0"/>
    <w:pPr>
      <w:ind w:left="1080"/>
    </w:pPr>
  </w:style>
  <w:style w:type="paragraph" w:styleId="17">
    <w:name w:val="List Number"/>
    <w:basedOn w:val="15"/>
    <w:qFormat/>
    <w:uiPriority w:val="0"/>
    <w:pPr>
      <w:widowControl/>
      <w:overflowPunct w:val="0"/>
      <w:autoSpaceDE w:val="0"/>
      <w:autoSpaceDN w:val="0"/>
      <w:spacing w:after="240" w:line="240" w:lineRule="atLeast"/>
      <w:ind w:left="720" w:right="720" w:hanging="360" w:firstLineChars="0"/>
    </w:pPr>
    <w:rPr>
      <w:rFonts w:ascii="Garamond" w:hAnsi="Garamond"/>
      <w:kern w:val="18"/>
      <w:sz w:val="20"/>
    </w:rPr>
  </w:style>
  <w:style w:type="paragraph" w:styleId="18">
    <w:name w:val="List Bullet 4"/>
    <w:basedOn w:val="19"/>
    <w:qFormat/>
    <w:uiPriority w:val="0"/>
    <w:pPr>
      <w:ind w:left="1800"/>
    </w:pPr>
  </w:style>
  <w:style w:type="paragraph" w:styleId="19">
    <w:name w:val="List Bullet"/>
    <w:basedOn w:val="15"/>
    <w:qFormat/>
    <w:uiPriority w:val="0"/>
    <w:pPr>
      <w:widowControl/>
      <w:overflowPunct w:val="0"/>
      <w:autoSpaceDE w:val="0"/>
      <w:autoSpaceDN w:val="0"/>
      <w:spacing w:after="240" w:line="240" w:lineRule="atLeast"/>
      <w:ind w:left="720" w:right="720" w:hanging="360" w:firstLineChars="0"/>
    </w:pPr>
    <w:rPr>
      <w:rFonts w:ascii="Garamond" w:hAnsi="Garamond"/>
      <w:kern w:val="18"/>
      <w:sz w:val="20"/>
    </w:rPr>
  </w:style>
  <w:style w:type="paragraph" w:styleId="20">
    <w:name w:val="Normal Indent"/>
    <w:basedOn w:val="1"/>
    <w:link w:val="133"/>
    <w:qFormat/>
    <w:uiPriority w:val="0"/>
    <w:pPr>
      <w:ind w:firstLine="420" w:firstLineChars="200"/>
    </w:pPr>
    <w:rPr>
      <w:sz w:val="24"/>
      <w:szCs w:val="20"/>
    </w:rPr>
  </w:style>
  <w:style w:type="paragraph" w:styleId="21">
    <w:name w:val="caption"/>
    <w:basedOn w:val="1"/>
    <w:next w:val="1"/>
    <w:qFormat/>
    <w:uiPriority w:val="0"/>
    <w:rPr>
      <w:i/>
      <w:spacing w:val="5"/>
    </w:rPr>
  </w:style>
  <w:style w:type="paragraph" w:styleId="22">
    <w:name w:val="envelope address"/>
    <w:basedOn w:val="9"/>
    <w:qFormat/>
    <w:uiPriority w:val="0"/>
    <w:pPr>
      <w:framePr w:w="7920" w:h="1987" w:hRule="exact" w:hSpace="187" w:vSpace="187" w:wrap="around" w:vAnchor="margin" w:hAnchor="page" w:xAlign="center" w:yAlign="bottom"/>
      <w:widowControl/>
      <w:overflowPunct w:val="0"/>
      <w:autoSpaceDE w:val="0"/>
      <w:autoSpaceDN w:val="0"/>
      <w:spacing w:after="0" w:line="220" w:lineRule="atLeast"/>
      <w:ind w:left="2880"/>
      <w:jc w:val="left"/>
      <w:textAlignment w:val="baseline"/>
    </w:pPr>
    <w:rPr>
      <w:rFonts w:ascii="Garamond" w:hAnsi="Garamond"/>
      <w:kern w:val="18"/>
      <w:sz w:val="20"/>
    </w:rPr>
  </w:style>
  <w:style w:type="paragraph" w:styleId="23">
    <w:name w:val="Document Map"/>
    <w:basedOn w:val="1"/>
    <w:semiHidden/>
    <w:qFormat/>
    <w:uiPriority w:val="0"/>
    <w:pPr>
      <w:shd w:val="clear" w:color="auto" w:fill="000080"/>
    </w:pPr>
  </w:style>
  <w:style w:type="paragraph" w:styleId="24">
    <w:name w:val="annotation text"/>
    <w:basedOn w:val="1"/>
    <w:link w:val="132"/>
    <w:qFormat/>
    <w:uiPriority w:val="0"/>
    <w:pPr>
      <w:jc w:val="left"/>
    </w:pPr>
  </w:style>
  <w:style w:type="paragraph" w:styleId="25">
    <w:name w:val="Salutation"/>
    <w:basedOn w:val="1"/>
    <w:next w:val="1"/>
    <w:qFormat/>
    <w:uiPriority w:val="0"/>
  </w:style>
  <w:style w:type="paragraph" w:styleId="26">
    <w:name w:val="Body Text 3"/>
    <w:basedOn w:val="1"/>
    <w:qFormat/>
    <w:uiPriority w:val="0"/>
    <w:pPr>
      <w:spacing w:after="120"/>
    </w:pPr>
    <w:rPr>
      <w:sz w:val="16"/>
      <w:szCs w:val="16"/>
    </w:rPr>
  </w:style>
  <w:style w:type="paragraph" w:styleId="27">
    <w:name w:val="Closing"/>
    <w:basedOn w:val="9"/>
    <w:next w:val="28"/>
    <w:qFormat/>
    <w:uiPriority w:val="0"/>
    <w:pPr>
      <w:keepNext/>
      <w:widowControl/>
      <w:overflowPunct w:val="0"/>
      <w:autoSpaceDE w:val="0"/>
      <w:autoSpaceDN w:val="0"/>
      <w:spacing w:line="240" w:lineRule="atLeast"/>
      <w:ind w:left="4560"/>
      <w:jc w:val="left"/>
      <w:textAlignment w:val="baseline"/>
    </w:pPr>
    <w:rPr>
      <w:rFonts w:ascii="Garamond" w:hAnsi="Garamond"/>
      <w:kern w:val="18"/>
      <w:sz w:val="20"/>
    </w:rPr>
  </w:style>
  <w:style w:type="paragraph" w:customStyle="1" w:styleId="28">
    <w:name w:val="Signature Company Name"/>
    <w:basedOn w:val="29"/>
    <w:next w:val="30"/>
    <w:qFormat/>
    <w:uiPriority w:val="0"/>
    <w:pPr>
      <w:spacing w:before="0"/>
    </w:pPr>
    <w:rPr>
      <w:caps/>
      <w:sz w:val="21"/>
    </w:rPr>
  </w:style>
  <w:style w:type="paragraph" w:styleId="29">
    <w:name w:val="Signature"/>
    <w:basedOn w:val="9"/>
    <w:qFormat/>
    <w:uiPriority w:val="0"/>
    <w:pPr>
      <w:keepNext/>
      <w:widowControl/>
      <w:overflowPunct w:val="0"/>
      <w:autoSpaceDE w:val="0"/>
      <w:autoSpaceDN w:val="0"/>
      <w:spacing w:before="660" w:after="0" w:line="240" w:lineRule="atLeast"/>
      <w:ind w:left="4560"/>
      <w:jc w:val="left"/>
      <w:textAlignment w:val="baseline"/>
    </w:pPr>
    <w:rPr>
      <w:rFonts w:ascii="Garamond" w:hAnsi="Garamond"/>
      <w:kern w:val="18"/>
      <w:sz w:val="20"/>
    </w:rPr>
  </w:style>
  <w:style w:type="paragraph" w:customStyle="1" w:styleId="30">
    <w:name w:val="Signature Name"/>
    <w:basedOn w:val="29"/>
    <w:next w:val="31"/>
    <w:qFormat/>
    <w:uiPriority w:val="0"/>
    <w:pPr>
      <w:spacing w:before="880"/>
    </w:pPr>
  </w:style>
  <w:style w:type="paragraph" w:customStyle="1" w:styleId="31">
    <w:name w:val="Signature Job Title"/>
    <w:basedOn w:val="29"/>
    <w:next w:val="32"/>
    <w:qFormat/>
    <w:uiPriority w:val="0"/>
    <w:pPr>
      <w:spacing w:before="0"/>
    </w:pPr>
  </w:style>
  <w:style w:type="paragraph" w:customStyle="1" w:styleId="32">
    <w:name w:val="Reference Initials"/>
    <w:basedOn w:val="9"/>
    <w:next w:val="33"/>
    <w:qFormat/>
    <w:uiPriority w:val="0"/>
    <w:pPr>
      <w:keepNext/>
      <w:keepLines/>
      <w:widowControl/>
      <w:overflowPunct w:val="0"/>
      <w:autoSpaceDE w:val="0"/>
      <w:autoSpaceDN w:val="0"/>
      <w:spacing w:before="220" w:after="0" w:line="240" w:lineRule="atLeast"/>
      <w:jc w:val="left"/>
      <w:textAlignment w:val="baseline"/>
    </w:pPr>
    <w:rPr>
      <w:rFonts w:ascii="Garamond" w:hAnsi="Garamond"/>
      <w:kern w:val="18"/>
      <w:sz w:val="20"/>
    </w:rPr>
  </w:style>
  <w:style w:type="paragraph" w:customStyle="1" w:styleId="33">
    <w:name w:val="Enclosure"/>
    <w:basedOn w:val="9"/>
    <w:next w:val="34"/>
    <w:qFormat/>
    <w:uiPriority w:val="0"/>
    <w:pPr>
      <w:keepNext/>
      <w:keepLines/>
      <w:widowControl/>
      <w:overflowPunct w:val="0"/>
      <w:autoSpaceDE w:val="0"/>
      <w:autoSpaceDN w:val="0"/>
      <w:spacing w:after="240" w:line="240" w:lineRule="atLeast"/>
      <w:textAlignment w:val="baseline"/>
    </w:pPr>
    <w:rPr>
      <w:rFonts w:ascii="Garamond" w:hAnsi="Garamond"/>
      <w:kern w:val="18"/>
      <w:sz w:val="20"/>
    </w:rPr>
  </w:style>
  <w:style w:type="paragraph" w:customStyle="1" w:styleId="34">
    <w:name w:val="CC"/>
    <w:basedOn w:val="9"/>
    <w:qFormat/>
    <w:uiPriority w:val="0"/>
    <w:pPr>
      <w:keepLines/>
      <w:widowControl/>
      <w:overflowPunct w:val="0"/>
      <w:autoSpaceDE w:val="0"/>
      <w:autoSpaceDN w:val="0"/>
      <w:spacing w:after="240" w:line="240" w:lineRule="atLeast"/>
      <w:ind w:left="360" w:hanging="360"/>
      <w:jc w:val="left"/>
      <w:textAlignment w:val="baseline"/>
    </w:pPr>
    <w:rPr>
      <w:rFonts w:ascii="Garamond" w:hAnsi="Garamond"/>
      <w:kern w:val="18"/>
      <w:sz w:val="20"/>
    </w:rPr>
  </w:style>
  <w:style w:type="paragraph" w:styleId="35">
    <w:name w:val="List Bullet 3"/>
    <w:basedOn w:val="19"/>
    <w:qFormat/>
    <w:uiPriority w:val="0"/>
    <w:pPr>
      <w:ind w:left="1440"/>
    </w:pPr>
  </w:style>
  <w:style w:type="paragraph" w:styleId="36">
    <w:name w:val="Body Text Indent"/>
    <w:basedOn w:val="1"/>
    <w:qFormat/>
    <w:uiPriority w:val="0"/>
    <w:pPr>
      <w:spacing w:after="120"/>
      <w:ind w:left="420" w:leftChars="200"/>
    </w:pPr>
  </w:style>
  <w:style w:type="paragraph" w:styleId="37">
    <w:name w:val="List Number 3"/>
    <w:basedOn w:val="17"/>
    <w:qFormat/>
    <w:uiPriority w:val="0"/>
    <w:pPr>
      <w:ind w:left="1440"/>
    </w:pPr>
  </w:style>
  <w:style w:type="paragraph" w:styleId="38">
    <w:name w:val="List 2"/>
    <w:basedOn w:val="15"/>
    <w:qFormat/>
    <w:uiPriority w:val="0"/>
    <w:pPr>
      <w:widowControl/>
      <w:overflowPunct w:val="0"/>
      <w:autoSpaceDE w:val="0"/>
      <w:autoSpaceDN w:val="0"/>
      <w:spacing w:after="240" w:line="240" w:lineRule="atLeast"/>
      <w:ind w:left="1080" w:hanging="360"/>
    </w:pPr>
    <w:rPr>
      <w:rFonts w:ascii="Garamond" w:hAnsi="Garamond"/>
      <w:kern w:val="18"/>
      <w:sz w:val="20"/>
    </w:rPr>
  </w:style>
  <w:style w:type="paragraph" w:styleId="39">
    <w:name w:val="List Continue"/>
    <w:basedOn w:val="15"/>
    <w:qFormat/>
    <w:uiPriority w:val="0"/>
    <w:pPr>
      <w:widowControl/>
      <w:overflowPunct w:val="0"/>
      <w:autoSpaceDE w:val="0"/>
      <w:autoSpaceDN w:val="0"/>
      <w:spacing w:after="240" w:line="240" w:lineRule="atLeast"/>
      <w:ind w:left="720" w:right="720" w:firstLine="0"/>
    </w:pPr>
    <w:rPr>
      <w:rFonts w:ascii="Garamond" w:hAnsi="Garamond"/>
      <w:kern w:val="18"/>
      <w:sz w:val="20"/>
    </w:rPr>
  </w:style>
  <w:style w:type="paragraph" w:styleId="40">
    <w:name w:val="Block Text"/>
    <w:basedOn w:val="1"/>
    <w:qFormat/>
    <w:uiPriority w:val="0"/>
    <w:pPr>
      <w:adjustRightInd w:val="0"/>
      <w:spacing w:line="312" w:lineRule="atLeast"/>
      <w:ind w:left="113" w:right="113"/>
      <w:jc w:val="center"/>
      <w:textAlignment w:val="baseline"/>
    </w:pPr>
    <w:rPr>
      <w:rFonts w:eastAsia="隶书"/>
      <w:kern w:val="0"/>
      <w:sz w:val="28"/>
      <w:szCs w:val="20"/>
    </w:rPr>
  </w:style>
  <w:style w:type="paragraph" w:styleId="41">
    <w:name w:val="List Bullet 2"/>
    <w:basedOn w:val="19"/>
    <w:qFormat/>
    <w:uiPriority w:val="0"/>
    <w:pPr>
      <w:ind w:left="1080"/>
    </w:pPr>
  </w:style>
  <w:style w:type="paragraph" w:styleId="42">
    <w:name w:val="toc 3"/>
    <w:basedOn w:val="1"/>
    <w:next w:val="1"/>
    <w:semiHidden/>
    <w:qFormat/>
    <w:uiPriority w:val="0"/>
    <w:pPr>
      <w:ind w:left="840" w:leftChars="400"/>
    </w:pPr>
  </w:style>
  <w:style w:type="paragraph" w:styleId="43">
    <w:name w:val="Plain Text"/>
    <w:basedOn w:val="1"/>
    <w:link w:val="140"/>
    <w:qFormat/>
    <w:uiPriority w:val="0"/>
    <w:rPr>
      <w:rFonts w:ascii="宋体" w:hAnsi="Courier New" w:cs="Courier New"/>
      <w:szCs w:val="21"/>
    </w:rPr>
  </w:style>
  <w:style w:type="paragraph" w:styleId="44">
    <w:name w:val="List Bullet 5"/>
    <w:basedOn w:val="19"/>
    <w:qFormat/>
    <w:uiPriority w:val="0"/>
    <w:pPr>
      <w:ind w:left="2160"/>
    </w:pPr>
  </w:style>
  <w:style w:type="paragraph" w:styleId="45">
    <w:name w:val="List Number 4"/>
    <w:basedOn w:val="17"/>
    <w:qFormat/>
    <w:uiPriority w:val="0"/>
    <w:pPr>
      <w:ind w:left="1800"/>
    </w:pPr>
  </w:style>
  <w:style w:type="paragraph" w:styleId="46">
    <w:name w:val="Date"/>
    <w:basedOn w:val="1"/>
    <w:next w:val="1"/>
    <w:link w:val="135"/>
    <w:qFormat/>
    <w:uiPriority w:val="0"/>
    <w:pPr>
      <w:ind w:left="100" w:leftChars="2500"/>
    </w:pPr>
    <w:rPr>
      <w:b/>
      <w:spacing w:val="40"/>
      <w:sz w:val="44"/>
      <w:szCs w:val="44"/>
    </w:rPr>
  </w:style>
  <w:style w:type="paragraph" w:styleId="47">
    <w:name w:val="Body Text Indent 2"/>
    <w:basedOn w:val="1"/>
    <w:qFormat/>
    <w:uiPriority w:val="0"/>
    <w:pPr>
      <w:spacing w:after="120" w:line="480" w:lineRule="auto"/>
      <w:ind w:left="420" w:leftChars="200"/>
    </w:pPr>
  </w:style>
  <w:style w:type="paragraph" w:styleId="48">
    <w:name w:val="List Continue 5"/>
    <w:basedOn w:val="39"/>
    <w:qFormat/>
    <w:uiPriority w:val="0"/>
    <w:pPr>
      <w:ind w:left="2160"/>
    </w:pPr>
  </w:style>
  <w:style w:type="paragraph" w:styleId="49">
    <w:name w:val="Balloon Text"/>
    <w:basedOn w:val="1"/>
    <w:semiHidden/>
    <w:qFormat/>
    <w:uiPriority w:val="0"/>
    <w:rPr>
      <w:sz w:val="18"/>
      <w:szCs w:val="18"/>
    </w:rPr>
  </w:style>
  <w:style w:type="paragraph" w:styleId="50">
    <w:name w:val="footer"/>
    <w:basedOn w:val="1"/>
    <w:link w:val="147"/>
    <w:qFormat/>
    <w:uiPriority w:val="99"/>
    <w:pPr>
      <w:tabs>
        <w:tab w:val="center" w:pos="4153"/>
        <w:tab w:val="right" w:pos="8306"/>
      </w:tabs>
      <w:snapToGrid w:val="0"/>
      <w:jc w:val="left"/>
    </w:pPr>
    <w:rPr>
      <w:sz w:val="18"/>
      <w:szCs w:val="18"/>
    </w:rPr>
  </w:style>
  <w:style w:type="paragraph" w:styleId="51">
    <w:name w:val="envelope return"/>
    <w:basedOn w:val="9"/>
    <w:qFormat/>
    <w:uiPriority w:val="0"/>
    <w:pPr>
      <w:widowControl/>
      <w:overflowPunct w:val="0"/>
      <w:autoSpaceDE w:val="0"/>
      <w:autoSpaceDN w:val="0"/>
      <w:spacing w:after="0" w:line="240" w:lineRule="atLeast"/>
      <w:jc w:val="left"/>
      <w:textAlignment w:val="baseline"/>
    </w:pPr>
    <w:rPr>
      <w:rFonts w:ascii="Garamond" w:hAnsi="Garamond"/>
      <w:caps/>
      <w:spacing w:val="30"/>
      <w:sz w:val="15"/>
    </w:rPr>
  </w:style>
  <w:style w:type="paragraph" w:styleId="5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3">
    <w:name w:val="toc 1"/>
    <w:basedOn w:val="1"/>
    <w:next w:val="1"/>
    <w:semiHidden/>
    <w:qFormat/>
    <w:uiPriority w:val="0"/>
  </w:style>
  <w:style w:type="paragraph" w:styleId="54">
    <w:name w:val="List Continue 4"/>
    <w:basedOn w:val="39"/>
    <w:qFormat/>
    <w:uiPriority w:val="0"/>
    <w:pPr>
      <w:ind w:left="1800"/>
    </w:pPr>
  </w:style>
  <w:style w:type="paragraph" w:styleId="55">
    <w:name w:val="index heading"/>
    <w:basedOn w:val="1"/>
    <w:next w:val="56"/>
    <w:qFormat/>
    <w:uiPriority w:val="0"/>
  </w:style>
  <w:style w:type="paragraph" w:styleId="56">
    <w:name w:val="index 1"/>
    <w:basedOn w:val="1"/>
    <w:next w:val="1"/>
    <w:qFormat/>
    <w:uiPriority w:val="0"/>
    <w:pPr>
      <w:spacing w:line="240" w:lineRule="auto"/>
      <w:ind w:left="0" w:right="0" w:firstLine="0" w:firstLineChars="0"/>
    </w:pPr>
    <w:rPr>
      <w:rFonts w:ascii="Calibri" w:hAnsi="Calibri" w:cs="Calibri"/>
      <w:szCs w:val="21"/>
    </w:rPr>
  </w:style>
  <w:style w:type="paragraph" w:styleId="57">
    <w:name w:val="List Number 5"/>
    <w:basedOn w:val="17"/>
    <w:qFormat/>
    <w:uiPriority w:val="0"/>
    <w:pPr>
      <w:ind w:left="2160"/>
    </w:pPr>
  </w:style>
  <w:style w:type="paragraph" w:styleId="58">
    <w:name w:val="footnote text"/>
    <w:basedOn w:val="1"/>
    <w:qFormat/>
    <w:uiPriority w:val="99"/>
    <w:pPr>
      <w:adjustRightInd w:val="0"/>
      <w:spacing w:line="312" w:lineRule="atLeast"/>
      <w:jc w:val="left"/>
      <w:textAlignment w:val="baseline"/>
    </w:pPr>
    <w:rPr>
      <w:kern w:val="0"/>
      <w:sz w:val="18"/>
      <w:szCs w:val="20"/>
    </w:rPr>
  </w:style>
  <w:style w:type="paragraph" w:styleId="59">
    <w:name w:val="List 5"/>
    <w:basedOn w:val="15"/>
    <w:qFormat/>
    <w:uiPriority w:val="0"/>
    <w:pPr>
      <w:widowControl/>
      <w:overflowPunct w:val="0"/>
      <w:autoSpaceDE w:val="0"/>
      <w:autoSpaceDN w:val="0"/>
      <w:spacing w:after="240" w:line="240" w:lineRule="atLeast"/>
      <w:ind w:left="2160" w:hanging="360"/>
    </w:pPr>
    <w:rPr>
      <w:rFonts w:ascii="Garamond" w:hAnsi="Garamond"/>
      <w:kern w:val="18"/>
      <w:sz w:val="20"/>
    </w:rPr>
  </w:style>
  <w:style w:type="paragraph" w:styleId="60">
    <w:name w:val="Body Text Indent 3"/>
    <w:basedOn w:val="1"/>
    <w:qFormat/>
    <w:uiPriority w:val="0"/>
    <w:pPr>
      <w:spacing w:after="120"/>
      <w:ind w:left="420" w:leftChars="200"/>
    </w:pPr>
    <w:rPr>
      <w:sz w:val="16"/>
      <w:szCs w:val="16"/>
    </w:rPr>
  </w:style>
  <w:style w:type="paragraph" w:styleId="61">
    <w:name w:val="toc 2"/>
    <w:basedOn w:val="1"/>
    <w:next w:val="1"/>
    <w:semiHidden/>
    <w:qFormat/>
    <w:uiPriority w:val="0"/>
    <w:pPr>
      <w:ind w:left="420" w:leftChars="200"/>
    </w:pPr>
  </w:style>
  <w:style w:type="paragraph" w:styleId="62">
    <w:name w:val="Body Text 2"/>
    <w:basedOn w:val="1"/>
    <w:qFormat/>
    <w:uiPriority w:val="0"/>
    <w:pPr>
      <w:spacing w:after="120" w:line="480" w:lineRule="auto"/>
    </w:pPr>
  </w:style>
  <w:style w:type="paragraph" w:styleId="63">
    <w:name w:val="List 4"/>
    <w:basedOn w:val="15"/>
    <w:qFormat/>
    <w:uiPriority w:val="0"/>
    <w:pPr>
      <w:widowControl/>
      <w:overflowPunct w:val="0"/>
      <w:autoSpaceDE w:val="0"/>
      <w:autoSpaceDN w:val="0"/>
      <w:spacing w:after="240" w:line="240" w:lineRule="atLeast"/>
      <w:ind w:left="1800" w:hanging="360"/>
    </w:pPr>
    <w:rPr>
      <w:rFonts w:ascii="Garamond" w:hAnsi="Garamond"/>
      <w:kern w:val="18"/>
      <w:sz w:val="20"/>
    </w:rPr>
  </w:style>
  <w:style w:type="paragraph" w:styleId="64">
    <w:name w:val="List Continue 2"/>
    <w:basedOn w:val="39"/>
    <w:qFormat/>
    <w:uiPriority w:val="0"/>
    <w:pPr>
      <w:ind w:left="1080"/>
    </w:pPr>
  </w:style>
  <w:style w:type="paragraph" w:styleId="6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6">
    <w:name w:val="List Continue 3"/>
    <w:basedOn w:val="39"/>
    <w:qFormat/>
    <w:uiPriority w:val="0"/>
    <w:pPr>
      <w:ind w:left="1440"/>
    </w:pPr>
  </w:style>
  <w:style w:type="paragraph" w:styleId="67">
    <w:name w:val="annotation subject"/>
    <w:basedOn w:val="24"/>
    <w:next w:val="24"/>
    <w:link w:val="141"/>
    <w:qFormat/>
    <w:uiPriority w:val="0"/>
    <w:rPr>
      <w:b/>
      <w:bCs/>
    </w:rPr>
  </w:style>
  <w:style w:type="paragraph" w:styleId="68">
    <w:name w:val="Body Text First Indent"/>
    <w:basedOn w:val="9"/>
    <w:qFormat/>
    <w:uiPriority w:val="0"/>
    <w:pPr>
      <w:adjustRightInd/>
      <w:spacing w:line="240" w:lineRule="auto"/>
      <w:ind w:firstLine="420" w:firstLineChars="100"/>
    </w:pPr>
    <w:rPr>
      <w:kern w:val="2"/>
      <w:sz w:val="21"/>
      <w:szCs w:val="24"/>
    </w:rPr>
  </w:style>
  <w:style w:type="paragraph" w:styleId="69">
    <w:name w:val="Body Text First Indent 2"/>
    <w:basedOn w:val="36"/>
    <w:qFormat/>
    <w:uiPriority w:val="0"/>
    <w:pPr>
      <w:ind w:firstLine="420" w:firstLineChars="200"/>
    </w:pPr>
  </w:style>
  <w:style w:type="table" w:styleId="71">
    <w:name w:val="Table Grid"/>
    <w:basedOn w:val="7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3">
    <w:name w:val="Strong"/>
    <w:basedOn w:val="72"/>
    <w:qFormat/>
    <w:uiPriority w:val="0"/>
    <w:rPr>
      <w:b/>
    </w:rPr>
  </w:style>
  <w:style w:type="character" w:styleId="74">
    <w:name w:val="page number"/>
    <w:basedOn w:val="72"/>
    <w:qFormat/>
    <w:uiPriority w:val="0"/>
  </w:style>
  <w:style w:type="character" w:styleId="75">
    <w:name w:val="Emphasis"/>
    <w:qFormat/>
    <w:uiPriority w:val="0"/>
    <w:rPr>
      <w:caps/>
      <w:sz w:val="18"/>
    </w:rPr>
  </w:style>
  <w:style w:type="character" w:styleId="76">
    <w:name w:val="line number"/>
    <w:qFormat/>
    <w:uiPriority w:val="0"/>
    <w:rPr>
      <w:rFonts w:ascii="Garamond" w:hAnsi="Garamond"/>
      <w:sz w:val="21"/>
    </w:rPr>
  </w:style>
  <w:style w:type="character" w:styleId="77">
    <w:name w:val="Hyperlink"/>
    <w:qFormat/>
    <w:uiPriority w:val="0"/>
    <w:rPr>
      <w:color w:val="0000FF"/>
      <w:u w:val="single"/>
    </w:rPr>
  </w:style>
  <w:style w:type="character" w:styleId="78">
    <w:name w:val="annotation reference"/>
    <w:qFormat/>
    <w:uiPriority w:val="0"/>
    <w:rPr>
      <w:sz w:val="21"/>
      <w:szCs w:val="21"/>
    </w:rPr>
  </w:style>
  <w:style w:type="paragraph" w:customStyle="1" w:styleId="79">
    <w:name w:val="Char1 Char Char Char Char"/>
    <w:basedOn w:val="1"/>
    <w:qFormat/>
    <w:uiPriority w:val="0"/>
  </w:style>
  <w:style w:type="paragraph" w:customStyle="1" w:styleId="80">
    <w:name w:val="Picture"/>
    <w:basedOn w:val="1"/>
    <w:next w:val="21"/>
    <w:qFormat/>
    <w:uiPriority w:val="0"/>
    <w:pPr>
      <w:keepNext/>
      <w:widowControl/>
      <w:overflowPunct w:val="0"/>
      <w:autoSpaceDE w:val="0"/>
      <w:autoSpaceDN w:val="0"/>
      <w:adjustRightInd w:val="0"/>
      <w:textAlignment w:val="baseline"/>
    </w:pPr>
    <w:rPr>
      <w:rFonts w:ascii="Garamond" w:hAnsi="Garamond"/>
      <w:kern w:val="18"/>
      <w:sz w:val="20"/>
      <w:szCs w:val="20"/>
    </w:rPr>
  </w:style>
  <w:style w:type="paragraph" w:customStyle="1" w:styleId="81">
    <w:name w:val="段"/>
    <w:link w:val="146"/>
    <w:qFormat/>
    <w:uiPriority w:val="0"/>
    <w:pPr>
      <w:autoSpaceDE w:val="0"/>
      <w:autoSpaceDN w:val="0"/>
      <w:spacing w:line="360" w:lineRule="auto"/>
      <w:ind w:left="50" w:right="62" w:firstLine="200" w:firstLineChars="200"/>
      <w:jc w:val="both"/>
    </w:pPr>
    <w:rPr>
      <w:rFonts w:ascii="宋体" w:hAnsi="Times New Roman" w:eastAsia="宋体" w:cs="Times New Roman"/>
      <w:sz w:val="21"/>
      <w:lang w:val="en-US" w:eastAsia="zh-CN" w:bidi="ar-SA"/>
    </w:rPr>
  </w:style>
  <w:style w:type="paragraph" w:customStyle="1" w:styleId="82">
    <w:name w:val="标题 3 + 宋体"/>
    <w:basedOn w:val="4"/>
    <w:qFormat/>
    <w:uiPriority w:val="0"/>
    <w:pPr>
      <w:spacing w:beforeLines="50" w:afterLines="50" w:line="416" w:lineRule="auto"/>
      <w:jc w:val="both"/>
    </w:pPr>
    <w:rPr>
      <w:rFonts w:ascii="宋体" w:hAnsi="宋体" w:cs="Arial"/>
      <w:kern w:val="0"/>
      <w:sz w:val="28"/>
    </w:rPr>
  </w:style>
  <w:style w:type="paragraph" w:customStyle="1" w:styleId="83">
    <w:name w:val="Header First"/>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880" w:line="240" w:lineRule="atLeast"/>
      <w:jc w:val="left"/>
      <w:textAlignment w:val="baseline"/>
    </w:pPr>
    <w:rPr>
      <w:rFonts w:ascii="Garamond" w:hAnsi="Garamond"/>
      <w:smallCaps/>
      <w:kern w:val="18"/>
      <w:sz w:val="20"/>
      <w:szCs w:val="20"/>
    </w:rPr>
  </w:style>
  <w:style w:type="paragraph" w:customStyle="1" w:styleId="84">
    <w:name w:val="列出段落21"/>
    <w:basedOn w:val="1"/>
    <w:qFormat/>
    <w:uiPriority w:val="0"/>
    <w:pPr>
      <w:spacing w:line="240" w:lineRule="auto"/>
      <w:ind w:left="0" w:right="0" w:firstLine="420" w:firstLineChars="200"/>
    </w:pPr>
    <w:rPr>
      <w:rFonts w:ascii="Calibri" w:hAnsi="Calibri"/>
      <w:szCs w:val="21"/>
    </w:rPr>
  </w:style>
  <w:style w:type="paragraph" w:customStyle="1" w:styleId="85">
    <w:name w:val="_Style 35"/>
    <w:basedOn w:val="1"/>
    <w:qFormat/>
    <w:uiPriority w:val="0"/>
    <w:pPr>
      <w:widowControl/>
      <w:spacing w:after="160" w:line="240" w:lineRule="exact"/>
      <w:jc w:val="left"/>
    </w:pPr>
    <w:rPr>
      <w:szCs w:val="20"/>
    </w:rPr>
  </w:style>
  <w:style w:type="paragraph" w:customStyle="1" w:styleId="8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Attention Line"/>
    <w:basedOn w:val="1"/>
    <w:next w:val="25"/>
    <w:qFormat/>
    <w:uiPriority w:val="0"/>
    <w:pPr>
      <w:widowControl/>
      <w:spacing w:before="220"/>
      <w:ind w:left="840" w:right="-360"/>
      <w:jc w:val="left"/>
    </w:pPr>
    <w:rPr>
      <w:rFonts w:eastAsia="Times New Roman"/>
      <w:kern w:val="0"/>
      <w:sz w:val="20"/>
      <w:szCs w:val="20"/>
      <w:lang w:eastAsia="en-US"/>
    </w:rPr>
  </w:style>
  <w:style w:type="paragraph" w:customStyle="1" w:styleId="89">
    <w:name w:val="Char2"/>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0">
    <w:name w:val="Block Quotation"/>
    <w:basedOn w:val="9"/>
    <w:qFormat/>
    <w:uiPriority w:val="0"/>
    <w:pPr>
      <w:keepLines/>
      <w:widowControl/>
      <w:overflowPunct w:val="0"/>
      <w:autoSpaceDE w:val="0"/>
      <w:autoSpaceDN w:val="0"/>
      <w:spacing w:after="240" w:line="240" w:lineRule="atLeast"/>
      <w:ind w:left="720" w:right="720" w:firstLine="360"/>
      <w:textAlignment w:val="baseline"/>
    </w:pPr>
    <w:rPr>
      <w:rFonts w:ascii="Garamond" w:hAnsi="Garamond"/>
      <w:kern w:val="18"/>
      <w:sz w:val="20"/>
    </w:rPr>
  </w:style>
  <w:style w:type="paragraph" w:customStyle="1" w:styleId="91">
    <w:name w:val="默认段落字体 Para Char Char Char Char Char Char Char"/>
    <w:basedOn w:val="1"/>
    <w:qFormat/>
    <w:uiPriority w:val="0"/>
    <w:rPr>
      <w:rFonts w:ascii="Tahoma" w:hAnsi="Tahoma"/>
      <w:sz w:val="24"/>
      <w:szCs w:val="20"/>
    </w:rPr>
  </w:style>
  <w:style w:type="paragraph" w:customStyle="1" w:styleId="92">
    <w:name w:val="Company Name"/>
    <w:basedOn w:val="9"/>
    <w:next w:val="9"/>
    <w:qFormat/>
    <w:uiPriority w:val="0"/>
    <w:pPr>
      <w:keepLines/>
      <w:framePr w:w="8640" w:h="1440" w:wrap="notBeside" w:vAnchor="page" w:hAnchor="margin" w:xAlign="center" w:y="889"/>
      <w:widowControl/>
      <w:overflowPunct w:val="0"/>
      <w:autoSpaceDE w:val="0"/>
      <w:autoSpaceDN w:val="0"/>
      <w:spacing w:after="40" w:line="240" w:lineRule="atLeast"/>
      <w:jc w:val="center"/>
      <w:textAlignment w:val="baseline"/>
    </w:pPr>
    <w:rPr>
      <w:rFonts w:ascii="Garamond" w:hAnsi="Garamond"/>
      <w:caps/>
      <w:spacing w:val="75"/>
      <w:kern w:val="18"/>
      <w:sz w:val="21"/>
    </w:rPr>
  </w:style>
  <w:style w:type="paragraph" w:customStyle="1" w:styleId="93">
    <w:name w:val="Char1 Char Char Char Char2"/>
    <w:basedOn w:val="1"/>
    <w:qFormat/>
    <w:uiPriority w:val="0"/>
    <w:pPr>
      <w:spacing w:line="240" w:lineRule="auto"/>
      <w:ind w:left="0" w:right="0" w:firstLine="0" w:firstLineChars="0"/>
    </w:pPr>
    <w:rPr>
      <w:szCs w:val="20"/>
    </w:rPr>
  </w:style>
  <w:style w:type="paragraph" w:customStyle="1" w:styleId="94">
    <w:name w:val="Char Char3"/>
    <w:basedOn w:val="1"/>
    <w:qFormat/>
    <w:uiPriority w:val="0"/>
  </w:style>
  <w:style w:type="paragraph" w:customStyle="1" w:styleId="95">
    <w:name w:val="Char Char1 Char"/>
    <w:basedOn w:val="1"/>
    <w:qFormat/>
    <w:uiPriority w:val="0"/>
  </w:style>
  <w:style w:type="paragraph" w:customStyle="1" w:styleId="96">
    <w:name w:val="标题1"/>
    <w:basedOn w:val="1"/>
    <w:qFormat/>
    <w:uiPriority w:val="0"/>
    <w:pPr>
      <w:widowControl/>
      <w:jc w:val="center"/>
    </w:pPr>
    <w:rPr>
      <w:rFonts w:ascii="黑体" w:eastAsia="黑体"/>
      <w:b/>
      <w:kern w:val="0"/>
      <w:sz w:val="44"/>
      <w:szCs w:val="20"/>
    </w:rPr>
  </w:style>
  <w:style w:type="paragraph" w:customStyle="1" w:styleId="97">
    <w:name w:val="Char Char Char Char Char Char1"/>
    <w:basedOn w:val="1"/>
    <w:qFormat/>
    <w:uiPriority w:val="0"/>
    <w:rPr>
      <w:rFonts w:ascii="Tahoma" w:hAnsi="Tahoma"/>
      <w:sz w:val="24"/>
      <w:szCs w:val="20"/>
    </w:rPr>
  </w:style>
  <w:style w:type="paragraph" w:customStyle="1" w:styleId="98">
    <w:name w:val="Subject Line"/>
    <w:basedOn w:val="9"/>
    <w:next w:val="9"/>
    <w:qFormat/>
    <w:uiPriority w:val="0"/>
    <w:pPr>
      <w:widowControl/>
      <w:overflowPunct w:val="0"/>
      <w:autoSpaceDE w:val="0"/>
      <w:autoSpaceDN w:val="0"/>
      <w:spacing w:after="180" w:line="240" w:lineRule="atLeast"/>
      <w:ind w:left="360" w:hanging="360"/>
      <w:jc w:val="left"/>
      <w:textAlignment w:val="baseline"/>
    </w:pPr>
    <w:rPr>
      <w:rFonts w:ascii="Garamond" w:hAnsi="Garamond"/>
      <w:caps/>
      <w:kern w:val="18"/>
      <w:sz w:val="21"/>
    </w:rPr>
  </w:style>
  <w:style w:type="paragraph" w:customStyle="1" w:styleId="99">
    <w:name w:val="xl31"/>
    <w:basedOn w:val="1"/>
    <w:qFormat/>
    <w:uiPriority w:val="0"/>
    <w:pPr>
      <w:widowControl/>
      <w:spacing w:before="100" w:beforeAutospacing="1" w:after="100" w:afterAutospacing="1"/>
      <w:jc w:val="center"/>
    </w:pPr>
    <w:rPr>
      <w:kern w:val="0"/>
      <w:sz w:val="36"/>
      <w:szCs w:val="36"/>
    </w:rPr>
  </w:style>
  <w:style w:type="paragraph" w:customStyle="1" w:styleId="100">
    <w:name w:val="Char Char Char"/>
    <w:basedOn w:val="1"/>
    <w:qFormat/>
    <w:uiPriority w:val="0"/>
    <w:rPr>
      <w:rFonts w:ascii="Tahoma" w:hAnsi="Tahoma"/>
      <w:sz w:val="24"/>
      <w:szCs w:val="20"/>
    </w:rPr>
  </w:style>
  <w:style w:type="paragraph" w:customStyle="1" w:styleId="101">
    <w:name w:val="Inside Address"/>
    <w:basedOn w:val="9"/>
    <w:qFormat/>
    <w:uiPriority w:val="0"/>
    <w:pPr>
      <w:widowControl/>
      <w:overflowPunct w:val="0"/>
      <w:autoSpaceDE w:val="0"/>
      <w:autoSpaceDN w:val="0"/>
      <w:spacing w:after="0" w:line="240" w:lineRule="atLeast"/>
      <w:jc w:val="left"/>
      <w:textAlignment w:val="baseline"/>
    </w:pPr>
    <w:rPr>
      <w:rFonts w:ascii="Garamond" w:hAnsi="Garamond"/>
      <w:kern w:val="18"/>
      <w:sz w:val="20"/>
    </w:rPr>
  </w:style>
  <w:style w:type="paragraph" w:customStyle="1" w:styleId="102">
    <w:name w:val="Char Char15 Char Char"/>
    <w:basedOn w:val="1"/>
    <w:qFormat/>
    <w:uiPriority w:val="0"/>
    <w:pPr>
      <w:spacing w:line="240" w:lineRule="auto"/>
      <w:ind w:left="0" w:right="0" w:firstLine="0" w:firstLineChars="0"/>
    </w:pPr>
    <w:rPr>
      <w:szCs w:val="20"/>
    </w:rPr>
  </w:style>
  <w:style w:type="paragraph" w:customStyle="1" w:styleId="103">
    <w:name w:val="Char Char Char1"/>
    <w:basedOn w:val="1"/>
    <w:qFormat/>
    <w:uiPriority w:val="0"/>
    <w:rPr>
      <w:rFonts w:ascii="Tahoma" w:hAnsi="Tahoma"/>
      <w:sz w:val="24"/>
      <w:szCs w:val="20"/>
    </w:rPr>
  </w:style>
  <w:style w:type="paragraph" w:customStyle="1" w:styleId="104">
    <w:name w:val="Char Char1 Char Char Char Char Char Char Char Char Char Char"/>
    <w:basedOn w:val="1"/>
    <w:qFormat/>
    <w:uiPriority w:val="0"/>
    <w:rPr>
      <w:rFonts w:ascii="Tahoma" w:hAnsi="Tahoma"/>
      <w:sz w:val="24"/>
      <w:szCs w:val="20"/>
    </w:rPr>
  </w:style>
  <w:style w:type="paragraph" w:customStyle="1" w:styleId="105">
    <w:name w:val="Return Address"/>
    <w:qFormat/>
    <w:uiPriority w:val="0"/>
    <w:pPr>
      <w:tabs>
        <w:tab w:val="left" w:pos="2160"/>
      </w:tabs>
      <w:overflowPunct w:val="0"/>
      <w:autoSpaceDE w:val="0"/>
      <w:autoSpaceDN w:val="0"/>
      <w:adjustRightInd w:val="0"/>
      <w:spacing w:line="240" w:lineRule="atLeast"/>
      <w:ind w:left="50" w:right="-240" w:hanging="50" w:hangingChars="50"/>
      <w:jc w:val="center"/>
      <w:textAlignment w:val="baseline"/>
    </w:pPr>
    <w:rPr>
      <w:rFonts w:ascii="Garamond" w:hAnsi="Garamond" w:eastAsia="宋体" w:cs="Times New Roman"/>
      <w:caps/>
      <w:spacing w:val="30"/>
      <w:sz w:val="14"/>
      <w:lang w:val="en-US" w:eastAsia="zh-CN" w:bidi="ar-SA"/>
    </w:rPr>
  </w:style>
  <w:style w:type="paragraph" w:customStyle="1" w:styleId="106">
    <w:name w:val="表格文字"/>
    <w:basedOn w:val="1"/>
    <w:qFormat/>
    <w:uiPriority w:val="0"/>
    <w:pPr>
      <w:spacing w:before="25" w:after="25" w:line="300" w:lineRule="auto"/>
    </w:pPr>
    <w:rPr>
      <w:rFonts w:ascii="Times" w:hAnsi="Times"/>
      <w:spacing w:val="10"/>
      <w:kern w:val="0"/>
      <w:sz w:val="24"/>
      <w:szCs w:val="20"/>
    </w:rPr>
  </w:style>
  <w:style w:type="paragraph" w:customStyle="1" w:styleId="107">
    <w:name w:val="Footnote Base"/>
    <w:basedOn w:val="9"/>
    <w:qFormat/>
    <w:uiPriority w:val="0"/>
    <w:pPr>
      <w:keepLines/>
      <w:widowControl/>
      <w:overflowPunct w:val="0"/>
      <w:autoSpaceDE w:val="0"/>
      <w:autoSpaceDN w:val="0"/>
      <w:spacing w:after="240" w:line="240" w:lineRule="atLeast"/>
      <w:textAlignment w:val="baseline"/>
    </w:pPr>
    <w:rPr>
      <w:rFonts w:ascii="Garamond" w:hAnsi="Garamond"/>
      <w:kern w:val="18"/>
      <w:sz w:val="16"/>
    </w:rPr>
  </w:style>
  <w:style w:type="paragraph" w:customStyle="1" w:styleId="108">
    <w:name w:val="Char1 Char Char Char Char1"/>
    <w:basedOn w:val="1"/>
    <w:qFormat/>
    <w:uiPriority w:val="0"/>
    <w:pPr>
      <w:widowControl/>
      <w:spacing w:after="160" w:line="240" w:lineRule="exact"/>
      <w:jc w:val="left"/>
    </w:pPr>
    <w:rPr>
      <w:szCs w:val="20"/>
    </w:rPr>
  </w:style>
  <w:style w:type="paragraph" w:customStyle="1" w:styleId="109">
    <w:name w:val="Char1 Char Char Char1"/>
    <w:basedOn w:val="1"/>
    <w:qFormat/>
    <w:uiPriority w:val="0"/>
    <w:pPr>
      <w:widowControl/>
      <w:spacing w:after="160" w:line="240" w:lineRule="exact"/>
      <w:jc w:val="left"/>
    </w:pPr>
    <w:rPr>
      <w:rFonts w:ascii="Verdana" w:hAnsi="Verdana" w:eastAsia="仿宋_GB2312"/>
      <w:kern w:val="0"/>
      <w:sz w:val="28"/>
      <w:szCs w:val="20"/>
      <w:lang w:eastAsia="en-US"/>
    </w:rPr>
  </w:style>
  <w:style w:type="paragraph" w:customStyle="1" w:styleId="110">
    <w:name w:val="Char Char Char Char Char Char"/>
    <w:basedOn w:val="1"/>
    <w:qFormat/>
    <w:uiPriority w:val="0"/>
    <w:rPr>
      <w:rFonts w:ascii="Tahoma" w:hAnsi="Tahoma"/>
      <w:sz w:val="24"/>
      <w:szCs w:val="20"/>
    </w:rPr>
  </w:style>
  <w:style w:type="paragraph" w:customStyle="1" w:styleId="111">
    <w:name w:val="p0"/>
    <w:basedOn w:val="1"/>
    <w:qFormat/>
    <w:uiPriority w:val="0"/>
    <w:pPr>
      <w:widowControl/>
    </w:pPr>
    <w:rPr>
      <w:kern w:val="0"/>
      <w:szCs w:val="21"/>
    </w:rPr>
  </w:style>
  <w:style w:type="paragraph" w:customStyle="1" w:styleId="112">
    <w:name w:val="Char Char7"/>
    <w:basedOn w:val="1"/>
    <w:qFormat/>
    <w:uiPriority w:val="0"/>
    <w:pPr>
      <w:spacing w:line="240" w:lineRule="auto"/>
      <w:ind w:left="0" w:right="0" w:firstLine="0" w:firstLineChars="0"/>
    </w:pPr>
  </w:style>
  <w:style w:type="paragraph" w:customStyle="1" w:styleId="113">
    <w:name w:val="Char1 Char Char"/>
    <w:basedOn w:val="1"/>
    <w:qFormat/>
    <w:uiPriority w:val="0"/>
    <w:pPr>
      <w:widowControl/>
      <w:spacing w:after="160" w:line="240" w:lineRule="exact"/>
      <w:ind w:left="0" w:right="0" w:firstLine="0" w:firstLineChars="0"/>
      <w:jc w:val="left"/>
    </w:pPr>
    <w:rPr>
      <w:szCs w:val="20"/>
    </w:rPr>
  </w:style>
  <w:style w:type="paragraph" w:customStyle="1" w:styleId="114">
    <w:name w:val="Char Char Char Char"/>
    <w:basedOn w:val="1"/>
    <w:qFormat/>
    <w:uiPriority w:val="0"/>
    <w:rPr>
      <w:szCs w:val="20"/>
    </w:rPr>
  </w:style>
  <w:style w:type="paragraph" w:customStyle="1" w:styleId="115">
    <w:name w:val="Char1 Char Char Char Char3"/>
    <w:basedOn w:val="1"/>
    <w:qFormat/>
    <w:uiPriority w:val="0"/>
    <w:rPr>
      <w:szCs w:val="20"/>
    </w:rPr>
  </w:style>
  <w:style w:type="paragraph" w:customStyle="1" w:styleId="116">
    <w:name w:val="列出段落1"/>
    <w:basedOn w:val="1"/>
    <w:qFormat/>
    <w:uiPriority w:val="0"/>
    <w:pPr>
      <w:ind w:firstLine="420" w:firstLineChars="200"/>
    </w:pPr>
    <w:rPr>
      <w:rFonts w:ascii="Calibri" w:hAnsi="Calibri"/>
      <w:szCs w:val="22"/>
    </w:rPr>
  </w:style>
  <w:style w:type="paragraph" w:customStyle="1" w:styleId="117">
    <w:name w:val="Header Odd"/>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660" w:line="240" w:lineRule="atLeast"/>
      <w:jc w:val="left"/>
      <w:textAlignment w:val="baseline"/>
    </w:pPr>
    <w:rPr>
      <w:rFonts w:ascii="Garamond" w:hAnsi="Garamond"/>
      <w:smallCaps/>
      <w:kern w:val="18"/>
      <w:sz w:val="20"/>
      <w:szCs w:val="20"/>
    </w:rPr>
  </w:style>
  <w:style w:type="paragraph" w:customStyle="1" w:styleId="118">
    <w:name w:val="Char Char8 Char Char"/>
    <w:basedOn w:val="1"/>
    <w:qFormat/>
    <w:uiPriority w:val="0"/>
    <w:pPr>
      <w:widowControl/>
      <w:spacing w:after="160" w:line="240" w:lineRule="exact"/>
      <w:jc w:val="left"/>
    </w:pPr>
    <w:rPr>
      <w:szCs w:val="20"/>
    </w:rPr>
  </w:style>
  <w:style w:type="paragraph" w:customStyle="1" w:styleId="119">
    <w:name w:val="Thyssen Standard"/>
    <w:basedOn w:val="1"/>
    <w:qFormat/>
    <w:uiPriority w:val="0"/>
    <w:pPr>
      <w:widowControl/>
      <w:spacing w:before="120" w:after="120" w:line="300" w:lineRule="atLeast"/>
    </w:pPr>
    <w:rPr>
      <w:rFonts w:ascii="TKTypeRegular" w:hAnsi="TKTypeRegular" w:eastAsia="Times New Roman"/>
      <w:kern w:val="0"/>
      <w:sz w:val="22"/>
      <w:szCs w:val="20"/>
      <w:lang w:eastAsia="en-US"/>
    </w:rPr>
  </w:style>
  <w:style w:type="paragraph" w:customStyle="1" w:styleId="120">
    <w:name w:val="Header Even"/>
    <w:basedOn w:val="52"/>
    <w:qFormat/>
    <w:uiPriority w:val="0"/>
    <w:pPr>
      <w:keepLines/>
      <w:widowControl/>
      <w:pBdr>
        <w:bottom w:val="none" w:color="auto" w:sz="0" w:space="0"/>
      </w:pBdr>
      <w:tabs>
        <w:tab w:val="center" w:pos="4320"/>
        <w:tab w:val="right" w:pos="8640"/>
        <w:tab w:val="clear" w:pos="4153"/>
        <w:tab w:val="clear" w:pos="8306"/>
      </w:tabs>
      <w:overflowPunct w:val="0"/>
      <w:autoSpaceDE w:val="0"/>
      <w:autoSpaceDN w:val="0"/>
      <w:adjustRightInd w:val="0"/>
      <w:snapToGrid/>
      <w:spacing w:after="660" w:line="240" w:lineRule="atLeast"/>
      <w:jc w:val="left"/>
      <w:textAlignment w:val="baseline"/>
    </w:pPr>
    <w:rPr>
      <w:rFonts w:ascii="Garamond" w:hAnsi="Garamond"/>
      <w:smallCaps/>
      <w:kern w:val="18"/>
      <w:sz w:val="20"/>
      <w:szCs w:val="20"/>
    </w:rPr>
  </w:style>
  <w:style w:type="paragraph" w:customStyle="1" w:styleId="12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2">
    <w:name w:val="Header Base"/>
    <w:basedOn w:val="9"/>
    <w:qFormat/>
    <w:uiPriority w:val="0"/>
    <w:pPr>
      <w:keepLines/>
      <w:widowControl/>
      <w:tabs>
        <w:tab w:val="center" w:pos="4320"/>
        <w:tab w:val="right" w:pos="8640"/>
      </w:tabs>
      <w:overflowPunct w:val="0"/>
      <w:autoSpaceDE w:val="0"/>
      <w:autoSpaceDN w:val="0"/>
      <w:spacing w:after="0" w:line="240" w:lineRule="atLeast"/>
      <w:jc w:val="left"/>
      <w:textAlignment w:val="baseline"/>
    </w:pPr>
    <w:rPr>
      <w:rFonts w:ascii="Garamond" w:hAnsi="Garamond"/>
      <w:kern w:val="18"/>
      <w:sz w:val="20"/>
    </w:rPr>
  </w:style>
  <w:style w:type="paragraph" w:customStyle="1" w:styleId="123">
    <w:name w:val="Body Text Keep"/>
    <w:basedOn w:val="9"/>
    <w:qFormat/>
    <w:uiPriority w:val="0"/>
    <w:pPr>
      <w:keepNext/>
      <w:widowControl/>
      <w:overflowPunct w:val="0"/>
      <w:autoSpaceDE w:val="0"/>
      <w:autoSpaceDN w:val="0"/>
      <w:spacing w:after="240" w:line="240" w:lineRule="atLeast"/>
      <w:ind w:firstLine="360"/>
      <w:textAlignment w:val="baseline"/>
    </w:pPr>
    <w:rPr>
      <w:rFonts w:ascii="Garamond" w:hAnsi="Garamond"/>
      <w:kern w:val="18"/>
      <w:sz w:val="20"/>
    </w:rPr>
  </w:style>
  <w:style w:type="paragraph" w:customStyle="1" w:styleId="124">
    <w:name w:val="Char"/>
    <w:basedOn w:val="1"/>
    <w:qFormat/>
    <w:uiPriority w:val="0"/>
    <w:rPr>
      <w:rFonts w:ascii="Tahoma" w:hAnsi="Tahoma"/>
      <w:sz w:val="24"/>
      <w:szCs w:val="20"/>
    </w:rPr>
  </w:style>
  <w:style w:type="paragraph" w:customStyle="1" w:styleId="125">
    <w:name w:val="Char1"/>
    <w:basedOn w:val="1"/>
    <w:qFormat/>
    <w:uiPriority w:val="0"/>
    <w:rPr>
      <w:rFonts w:ascii="Tahoma" w:hAnsi="Tahoma"/>
      <w:sz w:val="24"/>
      <w:szCs w:val="20"/>
    </w:rPr>
  </w:style>
  <w:style w:type="paragraph" w:customStyle="1" w:styleId="126">
    <w:name w:val="正文格式"/>
    <w:basedOn w:val="1"/>
    <w:qFormat/>
    <w:uiPriority w:val="0"/>
    <w:pPr>
      <w:ind w:firstLine="420" w:firstLineChars="200"/>
    </w:pPr>
    <w:rPr>
      <w:sz w:val="28"/>
      <w:szCs w:val="20"/>
    </w:rPr>
  </w:style>
  <w:style w:type="paragraph" w:customStyle="1" w:styleId="127">
    <w:name w:val="WW-正文缩进"/>
    <w:basedOn w:val="1"/>
    <w:qFormat/>
    <w:uiPriority w:val="0"/>
    <w:pPr>
      <w:suppressAutoHyphens/>
      <w:autoSpaceDE w:val="0"/>
      <w:ind w:firstLine="420"/>
      <w:jc w:val="left"/>
      <w:textAlignment w:val="baseline"/>
    </w:pPr>
    <w:rPr>
      <w:rFonts w:ascii="宋体" w:hAnsi="宋体"/>
      <w:kern w:val="1"/>
      <w:sz w:val="34"/>
      <w:szCs w:val="20"/>
      <w:lang w:eastAsia="ar-SA"/>
    </w:rPr>
  </w:style>
  <w:style w:type="paragraph" w:customStyle="1" w:styleId="128">
    <w:name w:val="题注5"/>
    <w:basedOn w:val="1"/>
    <w:next w:val="21"/>
    <w:qFormat/>
    <w:uiPriority w:val="0"/>
    <w:pPr>
      <w:numPr>
        <w:ilvl w:val="0"/>
        <w:numId w:val="3"/>
      </w:numPr>
      <w:tabs>
        <w:tab w:val="left" w:pos="540"/>
        <w:tab w:val="clear" w:pos="420"/>
      </w:tabs>
      <w:ind w:left="540" w:right="0" w:hanging="540" w:hangingChars="225"/>
    </w:pPr>
    <w:rPr>
      <w:rFonts w:ascii="宋体" w:hAnsi="宋体"/>
      <w:color w:val="000000"/>
      <w:sz w:val="24"/>
    </w:rPr>
  </w:style>
  <w:style w:type="paragraph" w:customStyle="1" w:styleId="129">
    <w:name w:val="题注4"/>
    <w:basedOn w:val="1"/>
    <w:next w:val="21"/>
    <w:qFormat/>
    <w:uiPriority w:val="0"/>
    <w:pPr>
      <w:ind w:left="-132" w:leftChars="-64" w:right="-50" w:rightChars="-50" w:hanging="2"/>
      <w:jc w:val="center"/>
    </w:pPr>
    <w:rPr>
      <w:b/>
      <w:color w:val="FF0000"/>
    </w:rPr>
  </w:style>
  <w:style w:type="character" w:customStyle="1" w:styleId="130">
    <w:name w:val="Superscript"/>
    <w:qFormat/>
    <w:uiPriority w:val="0"/>
    <w:rPr>
      <w:vertAlign w:val="superscript"/>
    </w:rPr>
  </w:style>
  <w:style w:type="character" w:customStyle="1" w:styleId="131">
    <w:name w:val="font41"/>
    <w:qFormat/>
    <w:uiPriority w:val="0"/>
    <w:rPr>
      <w:rFonts w:hint="default" w:ascii="Times New Roman" w:hAnsi="Times New Roman" w:cs="Times New Roman"/>
      <w:color w:val="000000"/>
      <w:sz w:val="24"/>
      <w:szCs w:val="24"/>
      <w:u w:val="none"/>
    </w:rPr>
  </w:style>
  <w:style w:type="character" w:customStyle="1" w:styleId="132">
    <w:name w:val="批注文字 Char"/>
    <w:link w:val="24"/>
    <w:qFormat/>
    <w:uiPriority w:val="0"/>
    <w:rPr>
      <w:kern w:val="2"/>
      <w:sz w:val="21"/>
      <w:szCs w:val="24"/>
    </w:rPr>
  </w:style>
  <w:style w:type="character" w:customStyle="1" w:styleId="133">
    <w:name w:val="正文缩进 Char"/>
    <w:link w:val="20"/>
    <w:qFormat/>
    <w:locked/>
    <w:uiPriority w:val="0"/>
    <w:rPr>
      <w:rFonts w:eastAsia="宋体"/>
      <w:kern w:val="2"/>
      <w:sz w:val="24"/>
      <w:lang w:val="en-US" w:eastAsia="zh-CN" w:bidi="ar-SA"/>
    </w:rPr>
  </w:style>
  <w:style w:type="character" w:customStyle="1" w:styleId="134">
    <w:name w:val="font81"/>
    <w:qFormat/>
    <w:uiPriority w:val="0"/>
    <w:rPr>
      <w:rFonts w:hint="eastAsia" w:ascii="宋体" w:hAnsi="宋体" w:eastAsia="宋体"/>
      <w:color w:val="000000"/>
      <w:sz w:val="22"/>
      <w:szCs w:val="22"/>
      <w:u w:val="none"/>
    </w:rPr>
  </w:style>
  <w:style w:type="character" w:customStyle="1" w:styleId="135">
    <w:name w:val="日期 Char"/>
    <w:link w:val="46"/>
    <w:qFormat/>
    <w:uiPriority w:val="0"/>
    <w:rPr>
      <w:rFonts w:eastAsia="宋体"/>
      <w:b/>
      <w:spacing w:val="40"/>
      <w:kern w:val="2"/>
      <w:sz w:val="44"/>
      <w:szCs w:val="44"/>
      <w:lang w:val="en-US" w:eastAsia="zh-CN" w:bidi="ar-SA"/>
    </w:rPr>
  </w:style>
  <w:style w:type="character" w:customStyle="1" w:styleId="136">
    <w:name w:val="正文缩进1 Char1"/>
    <w:qFormat/>
    <w:locked/>
    <w:uiPriority w:val="0"/>
    <w:rPr>
      <w:rFonts w:eastAsia="宋体"/>
      <w:sz w:val="21"/>
      <w:lang w:val="en-US" w:eastAsia="zh-CN" w:bidi="ar-SA"/>
    </w:rPr>
  </w:style>
  <w:style w:type="character" w:customStyle="1" w:styleId="137">
    <w:name w:val="font61"/>
    <w:qFormat/>
    <w:uiPriority w:val="0"/>
    <w:rPr>
      <w:rFonts w:hint="eastAsia" w:ascii="宋体" w:hAnsi="宋体" w:eastAsia="宋体"/>
      <w:color w:val="000000"/>
      <w:sz w:val="18"/>
      <w:szCs w:val="18"/>
      <w:u w:val="none"/>
      <w:vertAlign w:val="superscript"/>
    </w:rPr>
  </w:style>
  <w:style w:type="character" w:customStyle="1" w:styleId="138">
    <w:name w:val="普通文字 Char1"/>
    <w:qFormat/>
    <w:uiPriority w:val="0"/>
    <w:rPr>
      <w:rFonts w:ascii="宋体" w:hAnsi="Courier New" w:eastAsia="宋体"/>
      <w:kern w:val="2"/>
      <w:sz w:val="21"/>
      <w:lang w:val="en-US" w:eastAsia="zh-CN" w:bidi="ar-SA"/>
    </w:rPr>
  </w:style>
  <w:style w:type="character" w:customStyle="1" w:styleId="139">
    <w:name w:val="普通文字 Char Char Char"/>
    <w:qFormat/>
    <w:uiPriority w:val="0"/>
    <w:rPr>
      <w:rFonts w:ascii="宋体" w:hAnsi="Courier New" w:eastAsia="宋体"/>
      <w:kern w:val="2"/>
      <w:sz w:val="21"/>
      <w:lang w:val="en-US" w:eastAsia="zh-CN" w:bidi="ar-SA"/>
    </w:rPr>
  </w:style>
  <w:style w:type="character" w:customStyle="1" w:styleId="140">
    <w:name w:val="纯文本 Char1"/>
    <w:link w:val="43"/>
    <w:qFormat/>
    <w:uiPriority w:val="0"/>
    <w:rPr>
      <w:rFonts w:ascii="宋体" w:hAnsi="Courier New" w:eastAsia="宋体" w:cs="Courier New"/>
      <w:kern w:val="2"/>
      <w:sz w:val="21"/>
      <w:szCs w:val="21"/>
      <w:lang w:val="en-US" w:eastAsia="zh-CN" w:bidi="ar-SA"/>
    </w:rPr>
  </w:style>
  <w:style w:type="character" w:customStyle="1" w:styleId="141">
    <w:name w:val="批注主题 Char"/>
    <w:link w:val="67"/>
    <w:qFormat/>
    <w:uiPriority w:val="0"/>
    <w:rPr>
      <w:b/>
      <w:bCs/>
      <w:kern w:val="2"/>
      <w:sz w:val="21"/>
      <w:szCs w:val="24"/>
    </w:rPr>
  </w:style>
  <w:style w:type="character" w:customStyle="1" w:styleId="142">
    <w:name w:val="font71"/>
    <w:qFormat/>
    <w:uiPriority w:val="0"/>
    <w:rPr>
      <w:rFonts w:hint="default" w:ascii="Times New Roman" w:hAnsi="Times New Roman" w:cs="Times New Roman"/>
      <w:color w:val="000000"/>
      <w:sz w:val="24"/>
      <w:szCs w:val="24"/>
      <w:u w:val="none"/>
    </w:rPr>
  </w:style>
  <w:style w:type="character" w:customStyle="1" w:styleId="143">
    <w:name w:val="纯文本 Char"/>
    <w:qFormat/>
    <w:uiPriority w:val="0"/>
    <w:rPr>
      <w:rFonts w:ascii="宋体" w:hAnsi="Courier New" w:eastAsia="宋体" w:cs="Courier New"/>
      <w:kern w:val="2"/>
      <w:sz w:val="21"/>
      <w:szCs w:val="21"/>
      <w:lang w:val="en-US" w:eastAsia="zh-CN" w:bidi="ar-SA"/>
    </w:rPr>
  </w:style>
  <w:style w:type="character" w:customStyle="1" w:styleId="144">
    <w:name w:val="Lead-in Emphasis"/>
    <w:qFormat/>
    <w:uiPriority w:val="0"/>
    <w:rPr>
      <w:caps/>
      <w:sz w:val="18"/>
    </w:rPr>
  </w:style>
  <w:style w:type="character" w:customStyle="1" w:styleId="145">
    <w:name w:val="纯文本 Char Char Char"/>
    <w:qFormat/>
    <w:uiPriority w:val="0"/>
    <w:rPr>
      <w:rFonts w:ascii="宋体" w:hAnsi="Courier New" w:eastAsia="仿宋_GB2312"/>
      <w:kern w:val="2"/>
      <w:sz w:val="30"/>
      <w:lang w:val="en-US" w:eastAsia="zh-CN" w:bidi="ar-SA"/>
    </w:rPr>
  </w:style>
  <w:style w:type="character" w:customStyle="1" w:styleId="146">
    <w:name w:val="段 Char"/>
    <w:link w:val="81"/>
    <w:qFormat/>
    <w:uiPriority w:val="0"/>
    <w:rPr>
      <w:rFonts w:ascii="宋体"/>
      <w:sz w:val="21"/>
      <w:lang w:val="en-US" w:eastAsia="zh-CN" w:bidi="ar-SA"/>
    </w:rPr>
  </w:style>
  <w:style w:type="character" w:customStyle="1" w:styleId="147">
    <w:name w:val="页脚 Char"/>
    <w:link w:val="50"/>
    <w:qFormat/>
    <w:uiPriority w:val="99"/>
    <w:rPr>
      <w:kern w:val="2"/>
      <w:sz w:val="18"/>
      <w:szCs w:val="18"/>
    </w:rPr>
  </w:style>
  <w:style w:type="character" w:customStyle="1" w:styleId="148">
    <w:name w:val="Slogan"/>
    <w:qFormat/>
    <w:uiPriority w:val="0"/>
    <w:rPr>
      <w:i/>
      <w:spacing w:val="70"/>
    </w:rPr>
  </w:style>
  <w:style w:type="character" w:customStyle="1" w:styleId="149">
    <w:name w:val="font21"/>
    <w:qFormat/>
    <w:uiPriority w:val="0"/>
    <w:rPr>
      <w:rFonts w:hint="eastAsia" w:ascii="宋体" w:hAnsi="宋体" w:eastAsia="宋体"/>
      <w:color w:val="000000"/>
      <w:sz w:val="24"/>
      <w:szCs w:val="24"/>
      <w:u w:val="none"/>
    </w:rPr>
  </w:style>
  <w:style w:type="character" w:customStyle="1" w:styleId="150">
    <w:name w:val="font91"/>
    <w:qFormat/>
    <w:uiPriority w:val="0"/>
    <w:rPr>
      <w:rFonts w:hint="eastAsia" w:ascii="宋体" w:hAnsi="宋体" w:eastAsia="宋体"/>
      <w:color w:val="000000"/>
      <w:sz w:val="18"/>
      <w:szCs w:val="18"/>
      <w:u w:val="none"/>
    </w:rPr>
  </w:style>
  <w:style w:type="character" w:customStyle="1" w:styleId="151">
    <w:name w:val="font01"/>
    <w:qFormat/>
    <w:uiPriority w:val="0"/>
    <w:rPr>
      <w:rFonts w:hint="eastAsia" w:ascii="宋体" w:hAnsi="宋体" w:eastAsia="宋体"/>
      <w:color w:val="000000"/>
      <w:sz w:val="24"/>
      <w:szCs w:val="24"/>
      <w:u w:val="none"/>
    </w:rPr>
  </w:style>
  <w:style w:type="character" w:customStyle="1" w:styleId="152">
    <w:name w:val="font51"/>
    <w:qFormat/>
    <w:uiPriority w:val="0"/>
    <w:rPr>
      <w:rFonts w:hint="eastAsia" w:ascii="宋体" w:hAnsi="宋体" w:eastAsia="宋体"/>
      <w:color w:val="000000"/>
      <w:sz w:val="18"/>
      <w:szCs w:val="18"/>
      <w:u w:val="none"/>
    </w:rPr>
  </w:style>
  <w:style w:type="character" w:customStyle="1" w:styleId="153">
    <w:name w:val="font11"/>
    <w:basedOn w:val="72"/>
    <w:qFormat/>
    <w:uiPriority w:val="0"/>
    <w:rPr>
      <w:rFonts w:hint="eastAsia" w:ascii="宋体" w:hAnsi="宋体" w:eastAsia="宋体" w:cs="宋体"/>
      <w:color w:val="000000"/>
      <w:sz w:val="20"/>
      <w:szCs w:val="20"/>
      <w:u w:val="none"/>
    </w:rPr>
  </w:style>
  <w:style w:type="paragraph" w:customStyle="1" w:styleId="154">
    <w:name w:val="Default Text"/>
    <w:link w:val="16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55">
    <w:name w:val="样式1"/>
    <w:basedOn w:val="1"/>
    <w:qFormat/>
    <w:uiPriority w:val="0"/>
    <w:pPr>
      <w:tabs>
        <w:tab w:val="left" w:pos="709"/>
      </w:tabs>
      <w:spacing w:line="240" w:lineRule="auto"/>
      <w:ind w:left="709" w:hanging="709"/>
    </w:pPr>
    <w:rPr>
      <w:rFonts w:ascii="宋体" w:hAnsi="宋体"/>
      <w:szCs w:val="21"/>
    </w:rPr>
  </w:style>
  <w:style w:type="character" w:customStyle="1" w:styleId="156">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157">
    <w:name w:val="子标题"/>
    <w:basedOn w:val="1"/>
    <w:qFormat/>
    <w:uiPriority w:val="0"/>
    <w:pPr>
      <w:ind w:firstLine="200" w:firstLineChars="200"/>
      <w:jc w:val="center"/>
    </w:pPr>
    <w:rPr>
      <w:rFonts w:eastAsia="新宋体"/>
      <w:sz w:val="28"/>
    </w:rPr>
  </w:style>
  <w:style w:type="paragraph" w:customStyle="1" w:styleId="158">
    <w:name w:val="缺省文本"/>
    <w:qFormat/>
    <w:uiPriority w:val="0"/>
    <w:pPr>
      <w:widowControl w:val="0"/>
      <w:autoSpaceDE w:val="0"/>
      <w:autoSpaceDN w:val="0"/>
      <w:adjustRightInd w:val="0"/>
    </w:pPr>
    <w:rPr>
      <w:rFonts w:ascii="Calibri" w:hAnsi="Calibri" w:eastAsia="宋体" w:cs="Times New Roman"/>
      <w:color w:val="000000"/>
      <w:sz w:val="24"/>
      <w:lang w:val="en-US" w:eastAsia="zh-CN" w:bidi="ar-SA"/>
    </w:rPr>
  </w:style>
  <w:style w:type="paragraph" w:styleId="159">
    <w:name w:val="List Paragraph"/>
    <w:basedOn w:val="1"/>
    <w:unhideWhenUsed/>
    <w:qFormat/>
    <w:uiPriority w:val="99"/>
    <w:pPr>
      <w:ind w:firstLine="420" w:firstLineChars="200"/>
    </w:pPr>
  </w:style>
  <w:style w:type="character" w:customStyle="1" w:styleId="160">
    <w:name w:val="Default Text Char Char"/>
    <w:link w:val="154"/>
    <w:qFormat/>
    <w:uiPriority w:val="0"/>
    <w:rPr>
      <w:rFonts w:ascii="Times New Roman" w:hAnsi="Times New Roman"/>
      <w:color w:val="000000"/>
      <w:sz w:val="24"/>
      <w:szCs w:val="24"/>
    </w:rPr>
  </w:style>
  <w:style w:type="character" w:customStyle="1" w:styleId="161">
    <w:name w:val="标题 1 Char"/>
    <w:link w:val="3"/>
    <w:qFormat/>
    <w:uiPriority w:val="0"/>
    <w:rPr>
      <w:rFonts w:ascii="Times New Roman" w:hAnsi="Times New Roman"/>
      <w:b/>
      <w:kern w:val="44"/>
      <w:sz w:val="32"/>
    </w:rPr>
  </w:style>
  <w:style w:type="paragraph" w:customStyle="1" w:styleId="162">
    <w:name w:val="Body text|1"/>
    <w:basedOn w:val="1"/>
    <w:qFormat/>
    <w:uiPriority w:val="0"/>
    <w:pPr>
      <w:widowControl w:val="0"/>
      <w:shd w:val="clear" w:color="auto" w:fill="auto"/>
      <w:spacing w:line="473" w:lineRule="auto"/>
      <w:ind w:firstLine="360"/>
    </w:pPr>
    <w:rPr>
      <w:rFonts w:ascii="宋体" w:hAnsi="宋体" w:eastAsia="宋体" w:cs="宋体"/>
      <w:sz w:val="19"/>
      <w:szCs w:val="19"/>
      <w:u w:val="none"/>
      <w:shd w:val="clear" w:color="auto" w:fill="auto"/>
      <w:lang w:val="zh-TW" w:eastAsia="zh-TW" w:bidi="zh-TW"/>
    </w:rPr>
  </w:style>
  <w:style w:type="paragraph" w:customStyle="1" w:styleId="16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emf"/><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3534</Words>
  <Characters>20144</Characters>
  <Lines>167</Lines>
  <Paragraphs>47</Paragraphs>
  <TotalTime>27</TotalTime>
  <ScaleCrop>false</ScaleCrop>
  <LinksUpToDate>false</LinksUpToDate>
  <CharactersWithSpaces>23631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2017-09-14T10:07:00Z</dcterms:created>
  <dc:creator>Administrator</dc:creator>
  <cp:lastModifiedBy>若^O^漓</cp:lastModifiedBy>
  <cp:lastPrinted>2020-05-10T10:06:00Z</cp:lastPrinted>
  <dcterms:modified xsi:type="dcterms:W3CDTF">2020-05-12T10:19:52Z</dcterms:modified>
  <dc:title>2017年中山市政府绩效管理咨询服务项目</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