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z w:val="52"/>
          <w:szCs w:val="52"/>
          <w:lang w:val="en-US" w:eastAsia="zh-CN"/>
        </w:rPr>
      </w:pPr>
      <w:bookmarkStart w:id="0" w:name="_Toc423032379"/>
      <w:bookmarkStart w:id="1" w:name="_Toc404251513"/>
      <w:bookmarkStart w:id="2" w:name="_Toc220481926"/>
      <w:bookmarkStart w:id="3" w:name="_Toc226194048"/>
      <w:bookmarkStart w:id="4" w:name="_Toc326070027"/>
      <w:bookmarkStart w:id="5" w:name="_Toc406598378"/>
      <w:bookmarkStart w:id="6" w:name="_Toc386035395"/>
      <w:bookmarkStart w:id="7" w:name="_Toc439170369"/>
      <w:bookmarkStart w:id="8" w:name="_Toc393724528"/>
      <w:bookmarkStart w:id="9" w:name="_Toc364868664"/>
      <w:bookmarkStart w:id="10" w:name="_Toc331085384"/>
    </w:p>
    <w:p>
      <w:pPr>
        <w:jc w:val="center"/>
        <w:rPr>
          <w:rFonts w:hint="default"/>
          <w:lang w:val="en-US"/>
        </w:rPr>
      </w:pPr>
      <w:r>
        <w:rPr>
          <w:rFonts w:hint="eastAsia" w:ascii="宋体" w:hAnsi="宋体" w:cs="宋体"/>
          <w:b/>
          <w:bCs/>
          <w:sz w:val="72"/>
          <w:szCs w:val="72"/>
          <w:lang w:val="en-US" w:eastAsia="zh-CN"/>
        </w:rPr>
        <w:t>和田市农村房屋安全性鉴定工作采购项目（包二）</w:t>
      </w:r>
    </w:p>
    <w:p>
      <w:pPr>
        <w:rPr>
          <w:rFonts w:ascii="宋体" w:hAnsi="宋体" w:cs="宋体"/>
          <w:sz w:val="28"/>
          <w:szCs w:val="28"/>
        </w:rPr>
      </w:pPr>
    </w:p>
    <w:p>
      <w:pPr>
        <w:pStyle w:val="2"/>
        <w:rPr>
          <w:rFonts w:ascii="宋体" w:hAnsi="宋体" w:cs="宋体"/>
          <w:sz w:val="28"/>
          <w:szCs w:val="28"/>
        </w:rPr>
      </w:pPr>
    </w:p>
    <w:p>
      <w:pPr>
        <w:pStyle w:val="9"/>
        <w:rPr>
          <w:rFonts w:hint="eastAsia"/>
        </w:rPr>
      </w:pPr>
    </w:p>
    <w:p>
      <w:pPr>
        <w:jc w:val="center"/>
        <w:rPr>
          <w:rFonts w:hint="eastAsia" w:ascii="宋体" w:hAnsi="宋体" w:cs="宋体"/>
          <w:sz w:val="28"/>
          <w:szCs w:val="28"/>
        </w:rPr>
      </w:pPr>
      <w:r>
        <w:rPr>
          <w:rFonts w:hint="eastAsia" w:ascii="宋体" w:hAnsi="宋体" w:cs="宋体"/>
          <w:color w:val="000000"/>
          <w:sz w:val="28"/>
          <w:szCs w:val="28"/>
        </w:rPr>
        <w:drawing>
          <wp:inline distT="0" distB="0" distL="114300" distR="114300">
            <wp:extent cx="2133600" cy="15595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2133600" cy="1559560"/>
                    </a:xfrm>
                    <a:prstGeom prst="rect">
                      <a:avLst/>
                    </a:prstGeom>
                    <a:noFill/>
                    <a:ln>
                      <a:noFill/>
                    </a:ln>
                  </pic:spPr>
                </pic:pic>
              </a:graphicData>
            </a:graphic>
          </wp:inline>
        </w:drawing>
      </w:r>
    </w:p>
    <w:p>
      <w:pPr>
        <w:spacing w:line="360" w:lineRule="exact"/>
        <w:jc w:val="center"/>
        <w:rPr>
          <w:rFonts w:hint="eastAsia" w:ascii="宋体" w:hAnsi="宋体" w:cs="宋体"/>
          <w:sz w:val="28"/>
          <w:szCs w:val="28"/>
        </w:rPr>
      </w:pPr>
    </w:p>
    <w:p>
      <w:pPr>
        <w:widowControl/>
        <w:jc w:val="center"/>
        <w:rPr>
          <w:rFonts w:hint="eastAsia" w:ascii="宋体" w:hAnsi="宋体" w:cs="宋体"/>
          <w:b/>
          <w:bCs/>
          <w:color w:val="000000"/>
          <w:kern w:val="0"/>
          <w:sz w:val="52"/>
          <w:szCs w:val="52"/>
          <w:lang w:val="zh-CN"/>
        </w:rPr>
      </w:pPr>
      <w:r>
        <w:rPr>
          <w:rFonts w:hint="eastAsia" w:ascii="宋体" w:hAnsi="宋体" w:cs="宋体"/>
          <w:b/>
          <w:bCs/>
          <w:color w:val="000000"/>
          <w:kern w:val="0"/>
          <w:sz w:val="52"/>
          <w:szCs w:val="52"/>
          <w:lang w:val="zh-CN"/>
        </w:rPr>
        <w:t>招</w:t>
      </w:r>
      <w:r>
        <w:rPr>
          <w:rFonts w:hint="eastAsia" w:ascii="宋体" w:hAnsi="宋体" w:cs="宋体"/>
          <w:b/>
          <w:bCs/>
          <w:color w:val="000000"/>
          <w:kern w:val="0"/>
          <w:sz w:val="52"/>
          <w:szCs w:val="52"/>
        </w:rPr>
        <w:t xml:space="preserve"> </w:t>
      </w:r>
      <w:r>
        <w:rPr>
          <w:rFonts w:hint="eastAsia" w:ascii="宋体" w:hAnsi="宋体" w:cs="宋体"/>
          <w:b/>
          <w:bCs/>
          <w:color w:val="000000"/>
          <w:kern w:val="0"/>
          <w:sz w:val="52"/>
          <w:szCs w:val="52"/>
          <w:lang w:val="zh-CN"/>
        </w:rPr>
        <w:t>标</w:t>
      </w:r>
      <w:r>
        <w:rPr>
          <w:rFonts w:hint="eastAsia" w:ascii="宋体" w:hAnsi="宋体" w:cs="宋体"/>
          <w:b/>
          <w:bCs/>
          <w:color w:val="000000"/>
          <w:kern w:val="0"/>
          <w:sz w:val="52"/>
          <w:szCs w:val="52"/>
        </w:rPr>
        <w:t xml:space="preserve"> </w:t>
      </w:r>
      <w:r>
        <w:rPr>
          <w:rFonts w:hint="eastAsia" w:ascii="宋体" w:hAnsi="宋体" w:cs="宋体"/>
          <w:b/>
          <w:bCs/>
          <w:color w:val="000000"/>
          <w:kern w:val="0"/>
          <w:sz w:val="52"/>
          <w:szCs w:val="52"/>
          <w:lang w:val="zh-CN"/>
        </w:rPr>
        <w:t>文</w:t>
      </w:r>
      <w:r>
        <w:rPr>
          <w:rFonts w:hint="eastAsia" w:ascii="宋体" w:hAnsi="宋体" w:cs="宋体"/>
          <w:b/>
          <w:bCs/>
          <w:color w:val="000000"/>
          <w:kern w:val="0"/>
          <w:sz w:val="52"/>
          <w:szCs w:val="52"/>
        </w:rPr>
        <w:t xml:space="preserve"> </w:t>
      </w:r>
      <w:r>
        <w:rPr>
          <w:rFonts w:hint="eastAsia" w:ascii="宋体" w:hAnsi="宋体" w:cs="宋体"/>
          <w:b/>
          <w:bCs/>
          <w:color w:val="000000"/>
          <w:kern w:val="0"/>
          <w:sz w:val="52"/>
          <w:szCs w:val="52"/>
          <w:lang w:val="zh-CN"/>
        </w:rPr>
        <w:t>件</w:t>
      </w:r>
    </w:p>
    <w:p>
      <w:pPr>
        <w:spacing w:line="360" w:lineRule="exact"/>
        <w:jc w:val="center"/>
        <w:rPr>
          <w:rFonts w:hint="eastAsia" w:ascii="宋体" w:hAnsi="宋体" w:cs="宋体"/>
          <w:b/>
          <w:bCs/>
          <w:color w:val="000000"/>
          <w:kern w:val="0"/>
          <w:sz w:val="32"/>
          <w:szCs w:val="32"/>
          <w:lang w:val="zh-CN"/>
        </w:rPr>
      </w:pPr>
    </w:p>
    <w:p>
      <w:pPr>
        <w:spacing w:line="360" w:lineRule="exact"/>
        <w:jc w:val="center"/>
        <w:rPr>
          <w:rFonts w:ascii="宋体" w:hAnsi="宋体" w:cs="宋体"/>
          <w:b/>
          <w:bCs/>
          <w:color w:val="000000"/>
          <w:kern w:val="0"/>
          <w:sz w:val="32"/>
          <w:szCs w:val="32"/>
        </w:rPr>
      </w:pPr>
      <w:r>
        <w:rPr>
          <w:rFonts w:hint="eastAsia" w:ascii="宋体" w:hAnsi="宋体" w:cs="宋体"/>
          <w:b/>
          <w:bCs/>
          <w:color w:val="000000"/>
          <w:kern w:val="0"/>
          <w:sz w:val="32"/>
          <w:szCs w:val="32"/>
          <w:lang w:val="zh-CN"/>
        </w:rPr>
        <w:t>项目编号：</w:t>
      </w:r>
      <w:r>
        <w:rPr>
          <w:rFonts w:hint="eastAsia" w:ascii="宋体" w:hAnsi="宋体" w:cs="宋体"/>
          <w:b/>
          <w:bCs/>
          <w:color w:val="000000"/>
          <w:kern w:val="0"/>
          <w:sz w:val="32"/>
          <w:szCs w:val="32"/>
          <w:lang w:val="zh-CN" w:eastAsia="zh-CN"/>
        </w:rPr>
        <w:t>TQHTFGS-HT-2020-29</w:t>
      </w:r>
      <w:r>
        <w:rPr>
          <w:rFonts w:hint="eastAsia" w:ascii="宋体" w:hAnsi="宋体" w:cs="宋体"/>
          <w:b/>
          <w:bCs/>
          <w:color w:val="000000"/>
          <w:kern w:val="0"/>
          <w:sz w:val="32"/>
          <w:szCs w:val="32"/>
          <w:lang w:val="zh-CN"/>
        </w:rPr>
        <w:t>号</w:t>
      </w:r>
    </w:p>
    <w:p>
      <w:pPr>
        <w:widowControl/>
        <w:jc w:val="center"/>
        <w:rPr>
          <w:rFonts w:hint="eastAsia" w:ascii="宋体" w:hAnsi="宋体" w:cs="宋体"/>
          <w:b/>
          <w:bCs/>
          <w:color w:val="000000"/>
          <w:kern w:val="0"/>
          <w:sz w:val="52"/>
          <w:szCs w:val="52"/>
          <w:lang w:val="zh-CN"/>
        </w:rPr>
      </w:pPr>
    </w:p>
    <w:p>
      <w:pPr>
        <w:rPr>
          <w:lang w:val="zh-CN"/>
        </w:rPr>
      </w:pPr>
    </w:p>
    <w:p>
      <w:pPr>
        <w:ind w:left="0" w:leftChars="0" w:firstLine="0" w:firstLineChars="0"/>
        <w:rPr>
          <w:rFonts w:hint="eastAsia"/>
          <w:lang w:val="zh-CN"/>
        </w:rPr>
      </w:pPr>
    </w:p>
    <w:p>
      <w:pPr>
        <w:widowControl/>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lang w:val="zh-CN"/>
        </w:rPr>
        <w:t>招标代理人：</w:t>
      </w:r>
      <w:r>
        <w:rPr>
          <w:rFonts w:hint="eastAsia" w:ascii="宋体" w:hAnsi="宋体" w:cs="宋体"/>
          <w:b/>
          <w:bCs/>
          <w:color w:val="000000"/>
          <w:kern w:val="0"/>
          <w:sz w:val="32"/>
          <w:szCs w:val="32"/>
        </w:rPr>
        <w:t>新疆天麒工程项目管理咨询有限责任公司</w:t>
      </w:r>
    </w:p>
    <w:p>
      <w:pPr>
        <w:widowControl/>
        <w:jc w:val="center"/>
        <w:rPr>
          <w:rFonts w:hint="eastAsia" w:ascii="宋体" w:hAnsi="宋体" w:cs="宋体"/>
          <w:b/>
          <w:bCs/>
          <w:color w:val="000000"/>
          <w:kern w:val="0"/>
          <w:sz w:val="32"/>
          <w:szCs w:val="32"/>
          <w:lang w:val="zh-CN"/>
        </w:rPr>
      </w:pPr>
      <w:r>
        <w:rPr>
          <w:rFonts w:hint="eastAsia" w:ascii="宋体" w:hAnsi="宋体" w:cs="宋体"/>
          <w:b/>
          <w:bCs/>
          <w:color w:val="000000"/>
          <w:kern w:val="0"/>
          <w:sz w:val="32"/>
          <w:szCs w:val="32"/>
        </w:rPr>
        <w:t>地址：和田市</w:t>
      </w:r>
      <w:r>
        <w:rPr>
          <w:rFonts w:hint="eastAsia" w:ascii="宋体" w:hAnsi="宋体" w:cs="宋体"/>
          <w:b/>
          <w:bCs/>
          <w:color w:val="000000"/>
          <w:kern w:val="0"/>
          <w:sz w:val="32"/>
          <w:szCs w:val="32"/>
          <w:lang w:val="zh-CN"/>
        </w:rPr>
        <w:t>屯垦西路138号龙煤大厦</w:t>
      </w:r>
      <w:r>
        <w:rPr>
          <w:rFonts w:hint="eastAsia" w:ascii="宋体" w:hAnsi="宋体" w:cs="宋体"/>
          <w:b/>
          <w:bCs/>
          <w:color w:val="000000"/>
          <w:kern w:val="0"/>
          <w:sz w:val="32"/>
          <w:szCs w:val="32"/>
          <w:lang w:val="en-US" w:eastAsia="zh-CN"/>
        </w:rPr>
        <w:t>12</w:t>
      </w:r>
      <w:r>
        <w:rPr>
          <w:rFonts w:hint="eastAsia" w:ascii="宋体" w:hAnsi="宋体" w:cs="宋体"/>
          <w:b/>
          <w:bCs/>
          <w:color w:val="000000"/>
          <w:kern w:val="0"/>
          <w:sz w:val="32"/>
          <w:szCs w:val="32"/>
          <w:lang w:val="zh-CN"/>
        </w:rPr>
        <w:t>楼</w:t>
      </w:r>
      <w:r>
        <w:rPr>
          <w:rFonts w:hint="eastAsia" w:ascii="宋体" w:hAnsi="宋体" w:cs="宋体"/>
          <w:b/>
          <w:bCs/>
          <w:color w:val="000000"/>
          <w:kern w:val="0"/>
          <w:sz w:val="32"/>
          <w:szCs w:val="32"/>
          <w:lang w:val="en-US" w:eastAsia="zh-CN"/>
        </w:rPr>
        <w:t>12-10</w:t>
      </w:r>
      <w:r>
        <w:rPr>
          <w:rFonts w:hint="eastAsia" w:ascii="宋体" w:hAnsi="宋体" w:cs="宋体"/>
          <w:b/>
          <w:bCs/>
          <w:color w:val="000000"/>
          <w:kern w:val="0"/>
          <w:sz w:val="32"/>
          <w:szCs w:val="32"/>
          <w:lang w:val="zh-CN"/>
        </w:rPr>
        <w:t>室</w:t>
      </w:r>
    </w:p>
    <w:p>
      <w:pPr>
        <w:autoSpaceDE w:val="0"/>
        <w:autoSpaceDN w:val="0"/>
        <w:jc w:val="center"/>
        <w:rPr>
          <w:rFonts w:hint="eastAsia" w:ascii="宋体" w:hAnsi="宋体" w:cs="宋体"/>
          <w:bCs/>
          <w:sz w:val="44"/>
          <w:szCs w:val="44"/>
          <w:lang w:val="zh-CN"/>
        </w:rPr>
      </w:pPr>
    </w:p>
    <w:p>
      <w:pPr>
        <w:pStyle w:val="2"/>
        <w:rPr>
          <w:rFonts w:hint="eastAsia" w:ascii="宋体" w:hAnsi="宋体" w:cs="宋体"/>
          <w:bCs/>
          <w:sz w:val="44"/>
          <w:szCs w:val="44"/>
          <w:lang w:val="zh-CN"/>
        </w:rPr>
      </w:pPr>
    </w:p>
    <w:p>
      <w:pPr>
        <w:pStyle w:val="2"/>
        <w:rPr>
          <w:rFonts w:hint="eastAsia" w:ascii="宋体" w:hAnsi="宋体" w:cs="宋体"/>
          <w:bCs/>
          <w:sz w:val="44"/>
          <w:szCs w:val="44"/>
          <w:lang w:val="zh-CN"/>
        </w:rPr>
      </w:pPr>
    </w:p>
    <w:p>
      <w:pPr>
        <w:pStyle w:val="2"/>
        <w:rPr>
          <w:rFonts w:hint="eastAsia" w:ascii="宋体" w:hAnsi="宋体" w:cs="宋体"/>
          <w:bCs/>
          <w:sz w:val="44"/>
          <w:szCs w:val="44"/>
          <w:lang w:val="zh-CN"/>
        </w:rPr>
        <w:sectPr>
          <w:headerReference r:id="rId5" w:type="first"/>
          <w:footerReference r:id="rId8" w:type="first"/>
          <w:headerReference r:id="rId3" w:type="default"/>
          <w:footerReference r:id="rId6" w:type="default"/>
          <w:headerReference r:id="rId4" w:type="even"/>
          <w:footerReference r:id="rId7" w:type="even"/>
          <w:footnotePr>
            <w:numFmt w:val="decimalHalfWidth"/>
          </w:footnotePr>
          <w:endnotePr>
            <w:numFmt w:val="chineseCounting"/>
          </w:endnotePr>
          <w:pgSz w:w="11906" w:h="16838"/>
          <w:pgMar w:top="1134" w:right="1304" w:bottom="1134" w:left="1304" w:header="737" w:footer="850" w:gutter="0"/>
          <w:cols w:space="720" w:num="1"/>
          <w:titlePg/>
          <w:docGrid w:type="lines" w:linePitch="320" w:charSpace="0"/>
        </w:sectPr>
      </w:pPr>
    </w:p>
    <w:p>
      <w:pPr>
        <w:autoSpaceDE w:val="0"/>
        <w:autoSpaceDN w:val="0"/>
        <w:ind w:left="0" w:leftChars="0" w:firstLine="0" w:firstLineChars="0"/>
        <w:jc w:val="both"/>
        <w:rPr>
          <w:rFonts w:hint="eastAsia" w:ascii="宋体" w:hAnsi="宋体" w:cs="宋体"/>
          <w:bCs/>
          <w:sz w:val="44"/>
          <w:szCs w:val="44"/>
          <w:lang w:val="zh-CN"/>
        </w:rPr>
      </w:pPr>
    </w:p>
    <w:p>
      <w:pPr>
        <w:autoSpaceDE w:val="0"/>
        <w:autoSpaceDN w:val="0"/>
        <w:jc w:val="center"/>
        <w:rPr>
          <w:rFonts w:ascii="宋体" w:hAnsi="宋体"/>
          <w:bCs/>
          <w:sz w:val="44"/>
          <w:szCs w:val="44"/>
          <w:lang w:val="zh-CN"/>
        </w:rPr>
      </w:pPr>
      <w:r>
        <w:rPr>
          <w:rFonts w:hint="eastAsia" w:ascii="宋体" w:hAnsi="宋体" w:cs="宋体"/>
          <w:bCs/>
          <w:sz w:val="44"/>
          <w:szCs w:val="44"/>
          <w:lang w:val="zh-CN"/>
        </w:rPr>
        <w:t>招标文件</w:t>
      </w:r>
    </w:p>
    <w:p>
      <w:pPr>
        <w:autoSpaceDE w:val="0"/>
        <w:autoSpaceDN w:val="0"/>
        <w:adjustRightInd w:val="0"/>
        <w:ind w:left="4375" w:leftChars="150" w:hanging="4060" w:hangingChars="1450"/>
        <w:rPr>
          <w:rFonts w:ascii="宋体" w:hAnsi="宋体" w:cs="宋体"/>
          <w:bCs/>
          <w:kern w:val="0"/>
          <w:sz w:val="28"/>
          <w:szCs w:val="28"/>
          <w:lang w:val="zh-CN"/>
        </w:rPr>
      </w:pPr>
    </w:p>
    <w:p>
      <w:pPr>
        <w:autoSpaceDE w:val="0"/>
        <w:autoSpaceDN w:val="0"/>
        <w:adjustRightInd w:val="0"/>
        <w:ind w:left="4375" w:leftChars="150" w:hanging="4060" w:hangingChars="1450"/>
        <w:rPr>
          <w:rFonts w:ascii="宋体" w:hAnsi="宋体" w:cs="宋体"/>
          <w:bCs/>
          <w:kern w:val="0"/>
          <w:sz w:val="28"/>
          <w:szCs w:val="28"/>
          <w:lang w:val="zh-CN"/>
        </w:rPr>
      </w:pPr>
    </w:p>
    <w:p>
      <w:pPr>
        <w:snapToGrid w:val="0"/>
        <w:spacing w:line="700" w:lineRule="exact"/>
        <w:ind w:left="-26" w:leftChars="-95" w:hanging="173" w:hangingChars="62"/>
        <w:rPr>
          <w:rFonts w:hint="eastAsia" w:ascii="宋体" w:hAnsi="宋体"/>
          <w:bCs/>
          <w:sz w:val="28"/>
          <w:szCs w:val="28"/>
          <w:lang w:eastAsia="zh-CN"/>
        </w:rPr>
      </w:pPr>
      <w:r>
        <w:rPr>
          <w:rFonts w:hint="eastAsia" w:ascii="宋体" w:hAnsi="宋体"/>
          <w:bCs/>
          <w:sz w:val="28"/>
          <w:szCs w:val="28"/>
          <w:lang w:eastAsia="zh-CN"/>
        </w:rPr>
        <w:t>项目</w:t>
      </w:r>
      <w:r>
        <w:rPr>
          <w:rFonts w:hint="eastAsia" w:ascii="宋体" w:hAnsi="宋体"/>
          <w:bCs/>
          <w:sz w:val="28"/>
          <w:szCs w:val="28"/>
        </w:rPr>
        <w:t>名称：</w:t>
      </w:r>
      <w:r>
        <w:rPr>
          <w:rFonts w:hint="eastAsia" w:ascii="宋体" w:hAnsi="宋体"/>
          <w:bCs/>
          <w:sz w:val="28"/>
          <w:szCs w:val="28"/>
          <w:lang w:val="en-US" w:eastAsia="zh-CN"/>
        </w:rPr>
        <w:t>和田市农村房屋安全性鉴定工作采购项目</w:t>
      </w:r>
      <w:r>
        <w:rPr>
          <w:rFonts w:hint="eastAsia" w:ascii="宋体" w:hAnsi="宋体"/>
          <w:bCs/>
          <w:sz w:val="28"/>
          <w:szCs w:val="28"/>
          <w:lang w:eastAsia="zh-CN"/>
        </w:rPr>
        <w:t>（包二）</w:t>
      </w:r>
    </w:p>
    <w:p>
      <w:pPr>
        <w:snapToGrid w:val="0"/>
        <w:spacing w:line="700" w:lineRule="exact"/>
        <w:ind w:left="-26" w:leftChars="-95" w:hanging="173" w:hangingChars="62"/>
        <w:rPr>
          <w:rFonts w:hint="eastAsia" w:ascii="宋体" w:hAnsi="宋体"/>
          <w:bCs/>
          <w:sz w:val="28"/>
          <w:szCs w:val="28"/>
          <w:lang w:eastAsia="zh-CN"/>
        </w:rPr>
      </w:pPr>
      <w:r>
        <w:rPr>
          <w:rFonts w:hint="eastAsia" w:ascii="宋体" w:hAnsi="宋体"/>
          <w:bCs/>
          <w:sz w:val="28"/>
          <w:szCs w:val="28"/>
          <w:lang w:eastAsia="zh-CN"/>
        </w:rPr>
        <w:t>采购</w:t>
      </w:r>
      <w:r>
        <w:rPr>
          <w:rFonts w:hint="eastAsia" w:ascii="宋体" w:hAnsi="宋体"/>
          <w:bCs/>
          <w:sz w:val="28"/>
          <w:szCs w:val="28"/>
        </w:rPr>
        <w:t>人:</w:t>
      </w:r>
      <w:r>
        <w:rPr>
          <w:rFonts w:hint="eastAsia" w:ascii="宋体" w:hAnsi="宋体"/>
          <w:bCs/>
          <w:sz w:val="28"/>
          <w:szCs w:val="28"/>
          <w:lang w:eastAsia="zh-CN"/>
        </w:rPr>
        <w:t>（</w:t>
      </w:r>
      <w:r>
        <w:rPr>
          <w:rFonts w:hint="eastAsia" w:ascii="宋体" w:hAnsi="宋体"/>
          <w:bCs/>
          <w:sz w:val="28"/>
          <w:szCs w:val="28"/>
          <w:lang w:val="en-US" w:eastAsia="zh-CN"/>
        </w:rPr>
        <w:t>盖章</w:t>
      </w:r>
      <w:r>
        <w:rPr>
          <w:rFonts w:hint="eastAsia" w:ascii="宋体" w:hAnsi="宋体"/>
          <w:bCs/>
          <w:sz w:val="28"/>
          <w:szCs w:val="28"/>
          <w:lang w:eastAsia="zh-CN"/>
        </w:rPr>
        <w:t>）</w:t>
      </w:r>
      <w:r>
        <w:rPr>
          <w:rFonts w:hint="eastAsia" w:ascii="宋体" w:hAnsi="宋体"/>
          <w:bCs/>
          <w:sz w:val="28"/>
          <w:szCs w:val="28"/>
          <w:lang w:val="en-US" w:eastAsia="zh-CN"/>
        </w:rPr>
        <w:t>和田市</w:t>
      </w:r>
      <w:r>
        <w:rPr>
          <w:rFonts w:hint="eastAsia" w:ascii="宋体" w:hAnsi="宋体"/>
          <w:bCs/>
          <w:sz w:val="28"/>
          <w:szCs w:val="28"/>
          <w:lang w:eastAsia="zh-CN"/>
        </w:rPr>
        <w:t>住房和城乡建设局</w:t>
      </w: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法定代表人或其委托代理人</w:t>
      </w:r>
      <w:r>
        <w:rPr>
          <w:rFonts w:ascii="宋体" w:hAnsi="宋体"/>
          <w:bCs/>
          <w:sz w:val="28"/>
          <w:szCs w:val="28"/>
        </w:rPr>
        <w:t>:</w:t>
      </w:r>
      <w:r>
        <w:rPr>
          <w:rFonts w:hint="eastAsia" w:ascii="宋体" w:hAnsi="宋体"/>
          <w:bCs/>
          <w:sz w:val="28"/>
          <w:szCs w:val="28"/>
        </w:rPr>
        <w:t>（签字或盖章）</w:t>
      </w:r>
    </w:p>
    <w:p>
      <w:pPr>
        <w:snapToGrid w:val="0"/>
        <w:spacing w:line="700" w:lineRule="exact"/>
        <w:ind w:left="-26" w:leftChars="-95" w:hanging="173" w:hangingChars="62"/>
        <w:rPr>
          <w:rFonts w:hint="default" w:ascii="宋体" w:hAnsi="宋体" w:eastAsia="宋体"/>
          <w:bCs/>
          <w:sz w:val="28"/>
          <w:szCs w:val="28"/>
          <w:lang w:val="en-US" w:eastAsia="zh-CN"/>
        </w:rPr>
      </w:pPr>
      <w:r>
        <w:rPr>
          <w:rFonts w:hint="eastAsia" w:ascii="宋体" w:hAnsi="宋体"/>
          <w:bCs/>
          <w:sz w:val="28"/>
          <w:szCs w:val="28"/>
        </w:rPr>
        <w:t>联系人：</w:t>
      </w:r>
      <w:r>
        <w:rPr>
          <w:rFonts w:hint="eastAsia" w:ascii="宋体" w:hAnsi="宋体"/>
          <w:bCs/>
          <w:sz w:val="28"/>
          <w:szCs w:val="28"/>
          <w:lang w:val="en-US" w:eastAsia="zh-CN"/>
        </w:rPr>
        <w:t>卢俊丽</w:t>
      </w:r>
    </w:p>
    <w:p>
      <w:pPr>
        <w:snapToGrid w:val="0"/>
        <w:spacing w:line="700" w:lineRule="exact"/>
        <w:ind w:left="-26" w:leftChars="-95" w:hanging="173" w:hangingChars="62"/>
        <w:rPr>
          <w:rFonts w:hint="default" w:ascii="宋体" w:hAnsi="宋体" w:eastAsia="宋体"/>
          <w:bCs/>
          <w:sz w:val="28"/>
          <w:szCs w:val="28"/>
          <w:lang w:val="en-US" w:eastAsia="zh-CN"/>
        </w:rPr>
      </w:pPr>
      <w:r>
        <w:rPr>
          <w:rFonts w:hint="eastAsia" w:ascii="宋体" w:hAnsi="宋体"/>
          <w:bCs/>
          <w:sz w:val="28"/>
          <w:szCs w:val="28"/>
        </w:rPr>
        <w:t>联系电话：</w:t>
      </w:r>
      <w:r>
        <w:rPr>
          <w:rFonts w:hint="eastAsia" w:ascii="宋体" w:hAnsi="宋体"/>
          <w:bCs/>
          <w:sz w:val="28"/>
          <w:szCs w:val="28"/>
          <w:lang w:val="en-US" w:eastAsia="zh-CN"/>
        </w:rPr>
        <w:t>0903-2562371</w:t>
      </w:r>
    </w:p>
    <w:p>
      <w:pPr>
        <w:snapToGrid w:val="0"/>
        <w:spacing w:line="700" w:lineRule="exact"/>
        <w:ind w:left="-26" w:leftChars="-95" w:hanging="173" w:hangingChars="62"/>
        <w:rPr>
          <w:rFonts w:hint="eastAsia" w:ascii="宋体" w:hAnsi="宋体"/>
          <w:bCs/>
          <w:sz w:val="28"/>
          <w:szCs w:val="28"/>
        </w:rPr>
      </w:pPr>
    </w:p>
    <w:p>
      <w:pPr>
        <w:snapToGrid w:val="0"/>
        <w:spacing w:line="700" w:lineRule="exact"/>
        <w:ind w:left="-26" w:leftChars="-95" w:hanging="173" w:hangingChars="62"/>
        <w:rPr>
          <w:rFonts w:hint="eastAsia" w:ascii="宋体" w:hAnsi="宋体"/>
          <w:bCs/>
          <w:sz w:val="28"/>
          <w:szCs w:val="28"/>
        </w:rPr>
      </w:pPr>
    </w:p>
    <w:p>
      <w:pPr>
        <w:snapToGrid w:val="0"/>
        <w:spacing w:line="700" w:lineRule="exact"/>
        <w:ind w:left="-26" w:leftChars="-95" w:hanging="173" w:hangingChars="62"/>
        <w:rPr>
          <w:rFonts w:hint="eastAsia" w:ascii="宋体" w:hAnsi="宋体"/>
          <w:bCs/>
          <w:sz w:val="28"/>
          <w:szCs w:val="28"/>
        </w:rPr>
      </w:pP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招标代理机构:</w:t>
      </w:r>
      <w:r>
        <w:rPr>
          <w:rFonts w:hint="eastAsia" w:ascii="宋体" w:hAnsi="宋体"/>
          <w:bCs/>
          <w:sz w:val="28"/>
          <w:szCs w:val="28"/>
          <w:lang w:eastAsia="zh-CN"/>
        </w:rPr>
        <w:t>（</w:t>
      </w:r>
      <w:r>
        <w:rPr>
          <w:rFonts w:hint="eastAsia" w:ascii="宋体" w:hAnsi="宋体"/>
          <w:bCs/>
          <w:sz w:val="28"/>
          <w:szCs w:val="28"/>
          <w:lang w:val="en-US" w:eastAsia="zh-CN"/>
        </w:rPr>
        <w:t>盖章</w:t>
      </w:r>
      <w:r>
        <w:rPr>
          <w:rFonts w:hint="eastAsia" w:ascii="宋体" w:hAnsi="宋体"/>
          <w:bCs/>
          <w:sz w:val="28"/>
          <w:szCs w:val="28"/>
          <w:lang w:eastAsia="zh-CN"/>
        </w:rPr>
        <w:t>）</w:t>
      </w:r>
      <w:r>
        <w:rPr>
          <w:rFonts w:hint="eastAsia" w:ascii="宋体" w:hAnsi="宋体"/>
          <w:bCs/>
          <w:sz w:val="28"/>
          <w:szCs w:val="28"/>
        </w:rPr>
        <w:t>新疆天麒工程项目管理咨询有限责任公司</w:t>
      </w: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法定代表人或其委托代理人: （签字或盖章）</w:t>
      </w:r>
    </w:p>
    <w:p>
      <w:pPr>
        <w:snapToGrid w:val="0"/>
        <w:spacing w:line="700" w:lineRule="exact"/>
        <w:ind w:left="-26" w:leftChars="-95" w:hanging="173" w:hangingChars="62"/>
        <w:rPr>
          <w:rFonts w:hint="default" w:ascii="宋体" w:hAnsi="宋体" w:eastAsia="宋体"/>
          <w:bCs/>
          <w:sz w:val="28"/>
          <w:szCs w:val="28"/>
          <w:lang w:val="en-US" w:eastAsia="zh-CN"/>
        </w:rPr>
      </w:pPr>
      <w:r>
        <w:rPr>
          <w:rFonts w:hint="eastAsia" w:ascii="宋体" w:hAnsi="宋体"/>
          <w:bCs/>
          <w:sz w:val="28"/>
          <w:szCs w:val="28"/>
        </w:rPr>
        <w:t>联系人：</w:t>
      </w:r>
      <w:r>
        <w:rPr>
          <w:rFonts w:hint="eastAsia" w:ascii="宋体" w:hAnsi="宋体"/>
          <w:bCs/>
          <w:sz w:val="28"/>
          <w:szCs w:val="28"/>
          <w:lang w:val="en-US" w:eastAsia="zh-CN"/>
        </w:rPr>
        <w:t>翟彦飞</w:t>
      </w:r>
    </w:p>
    <w:p>
      <w:pPr>
        <w:snapToGrid w:val="0"/>
        <w:spacing w:line="700" w:lineRule="exact"/>
        <w:ind w:left="-26" w:leftChars="-95" w:hanging="173" w:hangingChars="62"/>
        <w:rPr>
          <w:rFonts w:hint="default" w:ascii="宋体" w:hAnsi="宋体" w:eastAsia="宋体"/>
          <w:bCs/>
          <w:sz w:val="32"/>
          <w:lang w:val="en-US" w:eastAsia="zh-CN"/>
        </w:rPr>
      </w:pPr>
      <w:r>
        <w:rPr>
          <w:rFonts w:hint="eastAsia" w:ascii="宋体" w:hAnsi="宋体"/>
          <w:bCs/>
          <w:sz w:val="28"/>
          <w:szCs w:val="28"/>
        </w:rPr>
        <w:t>联系电话：</w:t>
      </w:r>
      <w:r>
        <w:rPr>
          <w:rFonts w:hint="eastAsia" w:ascii="宋体" w:hAnsi="宋体"/>
          <w:bCs/>
          <w:sz w:val="28"/>
          <w:szCs w:val="28"/>
          <w:lang w:val="en-US" w:eastAsia="zh-CN"/>
        </w:rPr>
        <w:t>0903-6870055</w:t>
      </w:r>
    </w:p>
    <w:p>
      <w:pPr>
        <w:rPr>
          <w:rFonts w:ascii="宋体" w:hAnsi="宋体"/>
          <w:b/>
          <w:bCs/>
          <w:sz w:val="28"/>
          <w:szCs w:val="28"/>
        </w:rPr>
      </w:pPr>
    </w:p>
    <w:p>
      <w:pPr>
        <w:rPr>
          <w:rFonts w:ascii="宋体" w:hAnsi="宋体"/>
          <w:b/>
          <w:bCs/>
          <w:sz w:val="28"/>
          <w:szCs w:val="28"/>
        </w:rPr>
      </w:pPr>
    </w:p>
    <w:p>
      <w:pPr>
        <w:pStyle w:val="20"/>
        <w:ind w:firstLine="480"/>
      </w:pPr>
    </w:p>
    <w:p>
      <w:pPr>
        <w:pStyle w:val="20"/>
        <w:ind w:firstLine="480"/>
      </w:pPr>
    </w:p>
    <w:p>
      <w:pPr>
        <w:ind w:left="141" w:hanging="141"/>
        <w:rPr>
          <w:rFonts w:hint="eastAsia" w:ascii="宋体" w:hAnsi="宋体"/>
          <w:b/>
          <w:bCs/>
          <w:sz w:val="28"/>
          <w:szCs w:val="28"/>
        </w:rPr>
      </w:pPr>
    </w:p>
    <w:p>
      <w:pPr>
        <w:ind w:left="141" w:hanging="141"/>
        <w:rPr>
          <w:rFonts w:hint="eastAsia" w:ascii="宋体" w:hAnsi="宋体"/>
          <w:b/>
          <w:bCs/>
          <w:sz w:val="28"/>
          <w:szCs w:val="28"/>
        </w:rPr>
        <w:sectPr>
          <w:footerReference r:id="rId10" w:type="first"/>
          <w:footerReference r:id="rId9" w:type="default"/>
          <w:footnotePr>
            <w:numFmt w:val="decimalHalfWidth"/>
          </w:footnotePr>
          <w:endnotePr>
            <w:numFmt w:val="chineseCounting"/>
          </w:endnotePr>
          <w:pgSz w:w="11906" w:h="16838"/>
          <w:pgMar w:top="1134" w:right="1304" w:bottom="1134" w:left="1304" w:header="737" w:footer="850" w:gutter="0"/>
          <w:pgNumType w:start="1"/>
          <w:cols w:space="720" w:num="1"/>
          <w:titlePg/>
          <w:docGrid w:type="lines" w:linePitch="320" w:charSpace="0"/>
        </w:sectPr>
      </w:pPr>
    </w:p>
    <w:p>
      <w:pPr>
        <w:pStyle w:val="2"/>
        <w:rPr>
          <w:rFonts w:hint="eastAsia"/>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0" w:leftChars="0" w:firstLine="0" w:firstLineChars="0"/>
        <w:rPr>
          <w:rFonts w:ascii="宋体" w:hAnsi="宋体"/>
          <w:b/>
          <w:bCs/>
          <w:sz w:val="28"/>
          <w:szCs w:val="28"/>
        </w:rPr>
      </w:pPr>
      <w:r>
        <w:rPr>
          <w:rFonts w:hint="eastAsia" w:ascii="宋体" w:hAnsi="宋体"/>
          <w:b/>
          <w:bCs/>
          <w:sz w:val="28"/>
          <w:szCs w:val="28"/>
        </w:rPr>
        <w:t>招投标监督管理机构备案登记栏：</w:t>
      </w:r>
    </w:p>
    <w:tbl>
      <w:tblPr>
        <w:tblStyle w:val="70"/>
        <w:tblW w:w="92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3" w:hRule="atLeast"/>
        </w:trPr>
        <w:tc>
          <w:tcPr>
            <w:tcW w:w="9249" w:type="dxa"/>
          </w:tcPr>
          <w:p>
            <w:pPr>
              <w:ind w:left="140" w:hanging="140"/>
              <w:jc w:val="center"/>
              <w:rPr>
                <w:rFonts w:ascii="宋体" w:hAnsi="宋体"/>
                <w:sz w:val="28"/>
                <w:szCs w:val="28"/>
              </w:rPr>
            </w:pPr>
          </w:p>
          <w:p>
            <w:pPr>
              <w:ind w:left="140" w:hanging="140"/>
              <w:rPr>
                <w:rFonts w:ascii="宋体" w:hAnsi="宋体"/>
                <w:sz w:val="28"/>
                <w:szCs w:val="28"/>
              </w:rPr>
            </w:pPr>
          </w:p>
          <w:p>
            <w:pPr>
              <w:pStyle w:val="9"/>
              <w:rPr>
                <w:rFonts w:ascii="宋体" w:hAnsi="宋体"/>
                <w:sz w:val="28"/>
                <w:szCs w:val="28"/>
              </w:rPr>
            </w:pPr>
          </w:p>
          <w:p>
            <w:pPr>
              <w:pStyle w:val="9"/>
              <w:rPr>
                <w:rFonts w:ascii="宋体" w:hAnsi="宋体"/>
                <w:sz w:val="28"/>
                <w:szCs w:val="28"/>
              </w:rPr>
            </w:pPr>
          </w:p>
          <w:p>
            <w:pPr>
              <w:ind w:left="140" w:hanging="140"/>
              <w:jc w:val="center"/>
              <w:rPr>
                <w:rFonts w:ascii="宋体" w:hAnsi="宋体"/>
                <w:sz w:val="28"/>
                <w:szCs w:val="28"/>
              </w:rPr>
            </w:pPr>
            <w:r>
              <w:rPr>
                <w:rFonts w:hint="eastAsia" w:ascii="宋体" w:hAnsi="宋体"/>
                <w:sz w:val="28"/>
                <w:szCs w:val="28"/>
              </w:rPr>
              <w:t>本招标文件已报备</w:t>
            </w:r>
          </w:p>
          <w:p>
            <w:pPr>
              <w:ind w:left="140" w:hanging="140"/>
              <w:jc w:val="center"/>
              <w:rPr>
                <w:rFonts w:ascii="宋体" w:hAnsi="宋体"/>
                <w:sz w:val="28"/>
                <w:szCs w:val="28"/>
              </w:rPr>
            </w:pPr>
          </w:p>
          <w:p>
            <w:pPr>
              <w:ind w:left="140" w:hanging="140"/>
              <w:jc w:val="center"/>
              <w:rPr>
                <w:rFonts w:ascii="宋体" w:hAnsi="宋体"/>
                <w:sz w:val="28"/>
                <w:szCs w:val="28"/>
              </w:rPr>
            </w:pPr>
          </w:p>
          <w:p>
            <w:pPr>
              <w:ind w:left="140" w:hanging="140"/>
              <w:jc w:val="center"/>
              <w:rPr>
                <w:rFonts w:ascii="宋体" w:hAnsi="宋体"/>
                <w:sz w:val="28"/>
                <w:szCs w:val="28"/>
              </w:rPr>
            </w:pPr>
          </w:p>
          <w:p>
            <w:pPr>
              <w:ind w:left="141" w:hanging="141"/>
              <w:rPr>
                <w:rFonts w:ascii="宋体" w:hAnsi="宋体"/>
                <w:b/>
                <w:bCs/>
                <w:sz w:val="28"/>
                <w:szCs w:val="28"/>
              </w:rPr>
            </w:pPr>
          </w:p>
          <w:p>
            <w:pPr>
              <w:ind w:left="141" w:hanging="141"/>
              <w:rPr>
                <w:rFonts w:ascii="宋体" w:hAnsi="宋体"/>
                <w:b/>
                <w:bCs/>
                <w:sz w:val="28"/>
                <w:szCs w:val="28"/>
              </w:rPr>
            </w:pPr>
          </w:p>
          <w:p>
            <w:pPr>
              <w:ind w:left="141" w:hanging="141"/>
              <w:rPr>
                <w:rFonts w:ascii="宋体" w:hAnsi="宋体"/>
                <w:b/>
                <w:bCs/>
                <w:sz w:val="28"/>
                <w:szCs w:val="28"/>
              </w:rPr>
            </w:pPr>
          </w:p>
          <w:p>
            <w:pPr>
              <w:ind w:left="140" w:hanging="140"/>
              <w:rPr>
                <w:rFonts w:ascii="宋体" w:hAnsi="宋体" w:cs="宋体"/>
                <w:bCs/>
                <w:sz w:val="28"/>
                <w:szCs w:val="28"/>
                <w:lang w:val="zh-CN"/>
              </w:rPr>
            </w:pPr>
            <w:r>
              <w:rPr>
                <w:rFonts w:hint="eastAsia" w:ascii="宋体" w:hAnsi="宋体" w:cs="宋体"/>
                <w:bCs/>
                <w:sz w:val="28"/>
                <w:szCs w:val="28"/>
                <w:lang w:val="zh-CN"/>
              </w:rPr>
              <w:t>项目名称：</w:t>
            </w:r>
            <w:r>
              <w:rPr>
                <w:rFonts w:hint="eastAsia" w:ascii="宋体" w:hAnsi="宋体"/>
                <w:bCs/>
                <w:sz w:val="28"/>
                <w:szCs w:val="28"/>
                <w:lang w:val="en-US" w:eastAsia="zh-CN"/>
              </w:rPr>
              <w:t>和田市农村房屋安全性鉴定工作采购项目</w:t>
            </w:r>
            <w:r>
              <w:rPr>
                <w:rFonts w:hint="eastAsia" w:ascii="宋体" w:hAnsi="宋体"/>
                <w:bCs/>
                <w:sz w:val="28"/>
                <w:szCs w:val="28"/>
                <w:lang w:eastAsia="zh-CN"/>
              </w:rPr>
              <w:t>（包二）</w:t>
            </w:r>
          </w:p>
          <w:p>
            <w:pPr>
              <w:ind w:left="140" w:hanging="140"/>
              <w:rPr>
                <w:rFonts w:ascii="宋体" w:hAnsi="宋体" w:cs="宋体"/>
                <w:bCs/>
                <w:sz w:val="28"/>
                <w:szCs w:val="28"/>
                <w:lang w:val="zh-CN"/>
              </w:rPr>
            </w:pPr>
          </w:p>
          <w:p>
            <w:pPr>
              <w:pStyle w:val="9"/>
              <w:rPr>
                <w:rFonts w:ascii="宋体" w:hAnsi="宋体" w:cs="宋体"/>
                <w:bCs/>
                <w:sz w:val="28"/>
                <w:szCs w:val="28"/>
                <w:lang w:val="zh-CN"/>
              </w:rPr>
            </w:pPr>
          </w:p>
          <w:p>
            <w:pPr>
              <w:pStyle w:val="9"/>
              <w:rPr>
                <w:rFonts w:ascii="宋体" w:hAnsi="宋体" w:cs="宋体"/>
                <w:bCs/>
                <w:sz w:val="28"/>
                <w:szCs w:val="28"/>
                <w:lang w:val="zh-CN"/>
              </w:rPr>
            </w:pPr>
          </w:p>
          <w:p>
            <w:pPr>
              <w:pStyle w:val="9"/>
              <w:rPr>
                <w:rFonts w:ascii="宋体" w:hAnsi="宋体" w:cs="宋体"/>
                <w:bCs/>
                <w:sz w:val="28"/>
                <w:szCs w:val="28"/>
                <w:lang w:val="zh-CN"/>
              </w:rPr>
            </w:pPr>
          </w:p>
          <w:p>
            <w:pPr>
              <w:ind w:left="140" w:hanging="140"/>
              <w:rPr>
                <w:rFonts w:ascii="宋体" w:hAnsi="宋体"/>
                <w:b/>
                <w:bCs/>
                <w:sz w:val="28"/>
                <w:szCs w:val="28"/>
              </w:rPr>
            </w:pPr>
            <w:r>
              <w:rPr>
                <w:rFonts w:hint="eastAsia" w:ascii="宋体" w:hAnsi="宋体"/>
                <w:sz w:val="28"/>
                <w:szCs w:val="28"/>
              </w:rPr>
              <w:t xml:space="preserve">                            备案日期：2020年</w:t>
            </w:r>
            <w:r>
              <w:rPr>
                <w:rFonts w:hint="eastAsia" w:ascii="宋体" w:hAnsi="宋体"/>
                <w:sz w:val="28"/>
                <w:szCs w:val="28"/>
                <w:lang w:val="en-US" w:eastAsia="zh-CN"/>
              </w:rPr>
              <w:t>5</w:t>
            </w:r>
            <w:r>
              <w:rPr>
                <w:rFonts w:hint="eastAsia" w:ascii="宋体" w:hAnsi="宋体"/>
                <w:sz w:val="28"/>
                <w:szCs w:val="28"/>
              </w:rPr>
              <w:t>月</w:t>
            </w:r>
            <w:r>
              <w:rPr>
                <w:rFonts w:hint="eastAsia" w:ascii="宋体" w:hAnsi="宋体"/>
                <w:sz w:val="28"/>
                <w:szCs w:val="28"/>
                <w:lang w:val="en-US" w:eastAsia="zh-CN"/>
              </w:rPr>
              <w:t>12</w:t>
            </w:r>
            <w:r>
              <w:rPr>
                <w:rFonts w:hint="eastAsia" w:ascii="宋体" w:hAnsi="宋体"/>
                <w:sz w:val="28"/>
                <w:szCs w:val="28"/>
              </w:rPr>
              <w:t>日</w:t>
            </w:r>
          </w:p>
        </w:tc>
      </w:tr>
    </w:tbl>
    <w:p>
      <w:pPr>
        <w:pStyle w:val="154"/>
        <w:ind w:firstLine="6746" w:firstLineChars="2400"/>
        <w:jc w:val="both"/>
        <w:rPr>
          <w:rFonts w:hint="default" w:ascii="宋体" w:hAnsi="宋体" w:eastAsia="宋体"/>
          <w:b/>
          <w:bCs/>
          <w:color w:val="auto"/>
          <w:sz w:val="28"/>
          <w:szCs w:val="28"/>
          <w:lang w:val="en-US" w:eastAsia="zh-CN"/>
        </w:rPr>
        <w:sectPr>
          <w:footerReference r:id="rId12" w:type="first"/>
          <w:footerReference r:id="rId11" w:type="default"/>
          <w:footnotePr>
            <w:numFmt w:val="decimalHalfWidth"/>
          </w:footnotePr>
          <w:endnotePr>
            <w:numFmt w:val="chineseCounting"/>
          </w:endnotePr>
          <w:pgSz w:w="11906" w:h="16838"/>
          <w:pgMar w:top="1134" w:right="1304" w:bottom="1134" w:left="1304" w:header="737" w:footer="850" w:gutter="0"/>
          <w:pgNumType w:start="1"/>
          <w:cols w:space="720" w:num="1"/>
          <w:docGrid w:type="lines" w:linePitch="320" w:charSpace="0"/>
        </w:sectPr>
      </w:pPr>
      <w:r>
        <w:rPr>
          <w:rFonts w:hint="eastAsia" w:ascii="宋体" w:hAnsi="宋体"/>
          <w:b/>
          <w:bCs/>
          <w:color w:val="auto"/>
          <w:sz w:val="28"/>
          <w:szCs w:val="28"/>
          <w:lang w:val="en-US" w:eastAsia="zh-CN"/>
        </w:rPr>
        <w:t>和田市政府采购办</w:t>
      </w:r>
    </w:p>
    <w:p>
      <w:pPr>
        <w:pStyle w:val="154"/>
        <w:ind w:left="141" w:hanging="141"/>
        <w:jc w:val="center"/>
        <w:rPr>
          <w:rFonts w:ascii="宋体" w:hAnsi="宋体"/>
          <w:b/>
          <w:bCs/>
          <w:color w:val="auto"/>
          <w:sz w:val="28"/>
          <w:szCs w:val="28"/>
        </w:rPr>
      </w:pPr>
      <w:r>
        <w:rPr>
          <w:rFonts w:hint="eastAsia" w:ascii="宋体" w:hAnsi="宋体"/>
          <w:b/>
          <w:bCs/>
          <w:color w:val="auto"/>
          <w:sz w:val="28"/>
          <w:szCs w:val="28"/>
        </w:rPr>
        <w:t xml:space="preserve">                                </w:t>
      </w:r>
    </w:p>
    <w:p>
      <w:pPr>
        <w:ind w:left="0" w:firstLine="0" w:firstLineChars="0"/>
        <w:jc w:val="both"/>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sectPr>
          <w:footerReference r:id="rId13" w:type="default"/>
          <w:footnotePr>
            <w:numFmt w:val="decimalHalfWidth"/>
          </w:footnotePr>
          <w:endnotePr>
            <w:numFmt w:val="chineseCounting"/>
          </w:endnotePr>
          <w:pgSz w:w="11906" w:h="16838"/>
          <w:pgMar w:top="1134" w:right="1304" w:bottom="1134" w:left="1304" w:header="737" w:footer="850" w:gutter="0"/>
          <w:pgNumType w:fmt="decimal" w:start="1"/>
          <w:cols w:space="720" w:num="1"/>
          <w:docGrid w:type="lines" w:linePitch="320" w:charSpace="0"/>
        </w:sectPr>
      </w:pPr>
    </w:p>
    <w:p>
      <w:pPr>
        <w:pStyle w:val="2"/>
        <w:rPr>
          <w:rFonts w:ascii="宋体" w:hAnsi="宋体"/>
          <w:b/>
          <w:bCs/>
          <w:color w:val="000000" w:themeColor="text1"/>
          <w:sz w:val="48"/>
          <w:szCs w:val="48"/>
          <w14:textFill>
            <w14:solidFill>
              <w14:schemeClr w14:val="tx1"/>
            </w14:solidFill>
          </w14:textFill>
        </w:rPr>
      </w:pPr>
    </w:p>
    <w:p>
      <w:pPr>
        <w:pStyle w:val="2"/>
        <w:rPr>
          <w:rFonts w:ascii="宋体" w:hAnsi="宋体"/>
          <w:b/>
          <w:bCs/>
          <w:color w:val="000000" w:themeColor="text1"/>
          <w:sz w:val="48"/>
          <w:szCs w:val="48"/>
          <w14:textFill>
            <w14:solidFill>
              <w14:schemeClr w14:val="tx1"/>
            </w14:solidFill>
          </w14:textFill>
        </w:rPr>
      </w:pPr>
    </w:p>
    <w:p>
      <w:pPr>
        <w:overflowPunct w:val="0"/>
        <w:ind w:left="180" w:hanging="180"/>
        <w:jc w:val="center"/>
        <w:rPr>
          <w:rFonts w:ascii="宋体" w:hAnsi="宋体" w:cs="Arial"/>
          <w:kern w:val="0"/>
          <w:sz w:val="36"/>
          <w:szCs w:val="36"/>
        </w:rPr>
      </w:pPr>
      <w:r>
        <w:rPr>
          <w:rFonts w:hint="eastAsia" w:ascii="宋体" w:hAnsi="宋体" w:cs="Arial"/>
          <w:kern w:val="0"/>
          <w:sz w:val="36"/>
          <w:szCs w:val="36"/>
        </w:rPr>
        <w:t>目  录</w:t>
      </w:r>
    </w:p>
    <w:sdt>
      <w:sdtPr>
        <w:rPr>
          <w:rFonts w:ascii="宋体" w:hAnsi="宋体" w:eastAsia="宋体" w:cs="Times New Roman"/>
          <w:kern w:val="2"/>
          <w:sz w:val="21"/>
          <w:szCs w:val="24"/>
          <w:lang w:val="en-US" w:eastAsia="zh-CN" w:bidi="ar-SA"/>
        </w:rPr>
        <w:id w:val="147460442"/>
        <w15:color w:val="DBDBDB"/>
        <w:docPartObj>
          <w:docPartGallery w:val="Table of Contents"/>
          <w:docPartUnique/>
        </w:docPartObj>
      </w:sdtPr>
      <w:sdtEndPr>
        <w:rPr>
          <w:rFonts w:ascii="宋体" w:hAnsi="宋体" w:eastAsia="宋体" w:cs="Times New Roman"/>
          <w:color w:val="000000" w:themeColor="text1"/>
          <w:kern w:val="2"/>
          <w:sz w:val="21"/>
          <w:szCs w:val="36"/>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pPr>
        </w:p>
        <w:p>
          <w:pPr>
            <w:pStyle w:val="163"/>
            <w:tabs>
              <w:tab w:val="right" w:leader="dot" w:pos="9298"/>
            </w:tabs>
            <w:rPr>
              <w:sz w:val="28"/>
              <w:szCs w:val="28"/>
            </w:rPr>
          </w:pPr>
          <w:r>
            <w:rPr>
              <w:rFonts w:ascii="宋体" w:hAnsi="宋体"/>
              <w:color w:val="000000" w:themeColor="text1"/>
              <w:sz w:val="52"/>
              <w:szCs w:val="52"/>
              <w14:textFill>
                <w14:solidFill>
                  <w14:schemeClr w14:val="tx1"/>
                </w14:solidFill>
              </w14:textFill>
            </w:rPr>
            <w:fldChar w:fldCharType="begin"/>
          </w:r>
          <w:r>
            <w:rPr>
              <w:rFonts w:ascii="宋体" w:hAnsi="宋体"/>
              <w:color w:val="000000" w:themeColor="text1"/>
              <w:sz w:val="52"/>
              <w:szCs w:val="52"/>
              <w14:textFill>
                <w14:solidFill>
                  <w14:schemeClr w14:val="tx1"/>
                </w14:solidFill>
              </w14:textFill>
            </w:rPr>
            <w:instrText xml:space="preserve">TOC \o "1-1" \h \u </w:instrText>
          </w:r>
          <w:r>
            <w:rPr>
              <w:rFonts w:ascii="宋体" w:hAnsi="宋体"/>
              <w:color w:val="000000" w:themeColor="text1"/>
              <w:sz w:val="52"/>
              <w:szCs w:val="52"/>
              <w14:textFill>
                <w14:solidFill>
                  <w14:schemeClr w14:val="tx1"/>
                </w14:solidFill>
              </w14:textFill>
            </w:rPr>
            <w:fldChar w:fldCharType="separate"/>
          </w: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_Toc22007 </w:instrText>
          </w:r>
          <w:r>
            <w:rPr>
              <w:rFonts w:ascii="宋体" w:hAnsi="宋体"/>
              <w:sz w:val="28"/>
              <w:szCs w:val="52"/>
            </w:rPr>
            <w:fldChar w:fldCharType="separate"/>
          </w:r>
          <w:r>
            <w:rPr>
              <w:rFonts w:hint="eastAsia" w:ascii="宋体" w:hAnsi="宋体"/>
              <w:sz w:val="28"/>
              <w:szCs w:val="96"/>
            </w:rPr>
            <w:t>第一章招标公告</w:t>
          </w:r>
          <w:r>
            <w:rPr>
              <w:sz w:val="28"/>
              <w:szCs w:val="28"/>
            </w:rPr>
            <w:tab/>
          </w:r>
          <w:r>
            <w:rPr>
              <w:rFonts w:hint="eastAsia"/>
              <w:sz w:val="28"/>
              <w:szCs w:val="28"/>
              <w:lang w:val="en-US" w:eastAsia="zh-CN"/>
            </w:rPr>
            <w:t>1</w:t>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_Toc7533 </w:instrText>
          </w:r>
          <w:r>
            <w:rPr>
              <w:rFonts w:ascii="宋体" w:hAnsi="宋体"/>
              <w:sz w:val="28"/>
              <w:szCs w:val="52"/>
            </w:rPr>
            <w:fldChar w:fldCharType="separate"/>
          </w:r>
          <w:r>
            <w:rPr>
              <w:rFonts w:hint="eastAsia" w:ascii="宋体" w:hAnsi="宋体"/>
              <w:sz w:val="28"/>
              <w:szCs w:val="44"/>
            </w:rPr>
            <w:t>第二章  投标人须知</w:t>
          </w:r>
          <w:r>
            <w:rPr>
              <w:sz w:val="28"/>
              <w:szCs w:val="28"/>
            </w:rPr>
            <w:tab/>
          </w:r>
          <w:r>
            <w:rPr>
              <w:sz w:val="28"/>
              <w:szCs w:val="28"/>
            </w:rPr>
            <w:fldChar w:fldCharType="begin"/>
          </w:r>
          <w:r>
            <w:rPr>
              <w:sz w:val="28"/>
              <w:szCs w:val="28"/>
            </w:rPr>
            <w:instrText xml:space="preserve"> PAGEREF _Toc7533 </w:instrText>
          </w:r>
          <w:r>
            <w:rPr>
              <w:sz w:val="28"/>
              <w:szCs w:val="28"/>
            </w:rPr>
            <w:fldChar w:fldCharType="separate"/>
          </w:r>
          <w:r>
            <w:rPr>
              <w:sz w:val="28"/>
              <w:szCs w:val="28"/>
            </w:rPr>
            <w:t>4</w:t>
          </w:r>
          <w:r>
            <w:rPr>
              <w:sz w:val="28"/>
              <w:szCs w:val="28"/>
            </w:rPr>
            <w:fldChar w:fldCharType="end"/>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_Toc6378 </w:instrText>
          </w:r>
          <w:r>
            <w:rPr>
              <w:rFonts w:ascii="宋体" w:hAnsi="宋体"/>
              <w:sz w:val="28"/>
              <w:szCs w:val="52"/>
            </w:rPr>
            <w:fldChar w:fldCharType="separate"/>
          </w:r>
          <w:r>
            <w:rPr>
              <w:rFonts w:hint="eastAsia" w:ascii="宋体" w:hAnsi="宋体" w:cs="宋体"/>
              <w:sz w:val="28"/>
              <w:szCs w:val="28"/>
            </w:rPr>
            <w:t>第三章 技术要求</w:t>
          </w:r>
          <w:r>
            <w:rPr>
              <w:sz w:val="28"/>
              <w:szCs w:val="28"/>
            </w:rPr>
            <w:tab/>
          </w:r>
          <w:r>
            <w:rPr>
              <w:sz w:val="28"/>
              <w:szCs w:val="28"/>
            </w:rPr>
            <w:fldChar w:fldCharType="begin"/>
          </w:r>
          <w:r>
            <w:rPr>
              <w:sz w:val="28"/>
              <w:szCs w:val="28"/>
            </w:rPr>
            <w:instrText xml:space="preserve"> PAGEREF _Toc6378 </w:instrText>
          </w:r>
          <w:r>
            <w:rPr>
              <w:sz w:val="28"/>
              <w:szCs w:val="28"/>
            </w:rPr>
            <w:fldChar w:fldCharType="separate"/>
          </w:r>
          <w:r>
            <w:rPr>
              <w:sz w:val="28"/>
              <w:szCs w:val="28"/>
            </w:rPr>
            <w:t>22</w:t>
          </w:r>
          <w:r>
            <w:rPr>
              <w:sz w:val="28"/>
              <w:szCs w:val="28"/>
            </w:rPr>
            <w:fldChar w:fldCharType="end"/>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_Toc23174 </w:instrText>
          </w:r>
          <w:r>
            <w:rPr>
              <w:rFonts w:ascii="宋体" w:hAnsi="宋体"/>
              <w:sz w:val="28"/>
              <w:szCs w:val="52"/>
            </w:rPr>
            <w:fldChar w:fldCharType="separate"/>
          </w:r>
          <w:r>
            <w:rPr>
              <w:rFonts w:hint="eastAsia" w:ascii="宋体" w:hAnsi="宋体" w:eastAsia="宋体" w:cs="宋体"/>
              <w:kern w:val="2"/>
              <w:sz w:val="28"/>
              <w:szCs w:val="40"/>
              <w:lang w:val="en-US" w:eastAsia="zh-CN" w:bidi="ar-SA"/>
            </w:rPr>
            <w:t>技术参数</w:t>
          </w:r>
          <w:r>
            <w:rPr>
              <w:sz w:val="28"/>
              <w:szCs w:val="28"/>
            </w:rPr>
            <w:tab/>
          </w:r>
          <w:r>
            <w:rPr>
              <w:sz w:val="28"/>
              <w:szCs w:val="28"/>
            </w:rPr>
            <w:fldChar w:fldCharType="begin"/>
          </w:r>
          <w:r>
            <w:rPr>
              <w:sz w:val="28"/>
              <w:szCs w:val="28"/>
            </w:rPr>
            <w:instrText xml:space="preserve"> PAGEREF _Toc23174 </w:instrText>
          </w:r>
          <w:r>
            <w:rPr>
              <w:sz w:val="28"/>
              <w:szCs w:val="28"/>
            </w:rPr>
            <w:fldChar w:fldCharType="separate"/>
          </w:r>
          <w:r>
            <w:rPr>
              <w:sz w:val="28"/>
              <w:szCs w:val="28"/>
            </w:rPr>
            <w:t>22</w:t>
          </w:r>
          <w:r>
            <w:rPr>
              <w:sz w:val="28"/>
              <w:szCs w:val="28"/>
            </w:rPr>
            <w:fldChar w:fldCharType="end"/>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_Toc15464 </w:instrText>
          </w:r>
          <w:r>
            <w:rPr>
              <w:rFonts w:ascii="宋体" w:hAnsi="宋体"/>
              <w:sz w:val="28"/>
              <w:szCs w:val="52"/>
            </w:rPr>
            <w:fldChar w:fldCharType="separate"/>
          </w:r>
          <w:r>
            <w:rPr>
              <w:rFonts w:hint="eastAsia" w:asciiTheme="minorEastAsia" w:hAnsiTheme="minorEastAsia" w:eastAsiaTheme="minorEastAsia" w:cstheme="minorEastAsia"/>
              <w:sz w:val="28"/>
              <w:szCs w:val="48"/>
            </w:rPr>
            <w:t>第</w:t>
          </w:r>
          <w:r>
            <w:rPr>
              <w:rFonts w:hint="eastAsia" w:asciiTheme="minorEastAsia" w:hAnsiTheme="minorEastAsia" w:eastAsiaTheme="minorEastAsia" w:cstheme="minorEastAsia"/>
              <w:sz w:val="28"/>
              <w:szCs w:val="48"/>
              <w:lang w:val="en-US" w:eastAsia="zh-CN"/>
            </w:rPr>
            <w:t>四</w:t>
          </w:r>
          <w:r>
            <w:rPr>
              <w:rFonts w:hint="eastAsia" w:asciiTheme="minorEastAsia" w:hAnsiTheme="minorEastAsia" w:eastAsiaTheme="minorEastAsia" w:cstheme="minorEastAsia"/>
              <w:sz w:val="28"/>
              <w:szCs w:val="48"/>
            </w:rPr>
            <w:t xml:space="preserve">章 </w:t>
          </w:r>
          <w:r>
            <w:rPr>
              <w:rFonts w:hint="eastAsia" w:ascii="宋体" w:hAnsi="宋体" w:cs="宋体"/>
              <w:sz w:val="28"/>
              <w:szCs w:val="28"/>
            </w:rPr>
            <w:t>合同</w:t>
          </w:r>
          <w:r>
            <w:rPr>
              <w:sz w:val="28"/>
              <w:szCs w:val="28"/>
            </w:rPr>
            <w:tab/>
          </w:r>
          <w:r>
            <w:rPr>
              <w:sz w:val="28"/>
              <w:szCs w:val="28"/>
            </w:rPr>
            <w:fldChar w:fldCharType="begin"/>
          </w:r>
          <w:r>
            <w:rPr>
              <w:sz w:val="28"/>
              <w:szCs w:val="28"/>
            </w:rPr>
            <w:instrText xml:space="preserve"> PAGEREF _Toc15464 </w:instrText>
          </w:r>
          <w:r>
            <w:rPr>
              <w:sz w:val="28"/>
              <w:szCs w:val="28"/>
            </w:rPr>
            <w:fldChar w:fldCharType="separate"/>
          </w:r>
          <w:r>
            <w:rPr>
              <w:sz w:val="28"/>
              <w:szCs w:val="28"/>
            </w:rPr>
            <w:t>23</w:t>
          </w:r>
          <w:r>
            <w:rPr>
              <w:sz w:val="28"/>
              <w:szCs w:val="28"/>
            </w:rPr>
            <w:fldChar w:fldCharType="end"/>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_Toc10926 </w:instrText>
          </w:r>
          <w:r>
            <w:rPr>
              <w:rFonts w:ascii="宋体" w:hAnsi="宋体"/>
              <w:sz w:val="28"/>
              <w:szCs w:val="52"/>
            </w:rPr>
            <w:fldChar w:fldCharType="separate"/>
          </w:r>
          <w:r>
            <w:rPr>
              <w:rFonts w:hint="default" w:ascii="宋体" w:hAnsi="宋体"/>
              <w:sz w:val="28"/>
              <w:szCs w:val="44"/>
            </w:rPr>
            <w:t xml:space="preserve">第五章 </w:t>
          </w:r>
          <w:r>
            <w:rPr>
              <w:rFonts w:hint="eastAsia" w:ascii="宋体" w:hAnsi="宋体"/>
              <w:sz w:val="28"/>
              <w:szCs w:val="44"/>
            </w:rPr>
            <w:t>投标文件格式</w:t>
          </w:r>
          <w:r>
            <w:rPr>
              <w:sz w:val="28"/>
              <w:szCs w:val="28"/>
            </w:rPr>
            <w:tab/>
          </w:r>
          <w:r>
            <w:rPr>
              <w:sz w:val="28"/>
              <w:szCs w:val="28"/>
            </w:rPr>
            <w:fldChar w:fldCharType="begin"/>
          </w:r>
          <w:r>
            <w:rPr>
              <w:sz w:val="28"/>
              <w:szCs w:val="28"/>
            </w:rPr>
            <w:instrText xml:space="preserve"> PAGEREF _Toc10926 </w:instrText>
          </w:r>
          <w:r>
            <w:rPr>
              <w:sz w:val="28"/>
              <w:szCs w:val="28"/>
            </w:rPr>
            <w:fldChar w:fldCharType="separate"/>
          </w:r>
          <w:r>
            <w:rPr>
              <w:sz w:val="28"/>
              <w:szCs w:val="28"/>
            </w:rPr>
            <w:t>29</w:t>
          </w:r>
          <w:r>
            <w:rPr>
              <w:sz w:val="28"/>
              <w:szCs w:val="28"/>
            </w:rPr>
            <w:fldChar w:fldCharType="end"/>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p>
        <w:p>
          <w:pPr>
            <w:ind w:left="1079" w:leftChars="514" w:firstLine="1120" w:firstLineChars="350"/>
            <w:rPr>
              <w:rFonts w:ascii="宋体" w:hAnsi="宋体"/>
              <w:color w:val="000000" w:themeColor="text1"/>
              <w:sz w:val="36"/>
              <w:szCs w:val="36"/>
              <w14:textFill>
                <w14:solidFill>
                  <w14:schemeClr w14:val="tx1"/>
                </w14:solidFill>
              </w14:textFill>
            </w:rPr>
          </w:pPr>
          <w:r>
            <w:rPr>
              <w:rFonts w:ascii="宋体" w:hAnsi="宋体"/>
              <w:color w:val="000000" w:themeColor="text1"/>
              <w:sz w:val="32"/>
              <w:szCs w:val="52"/>
              <w14:textFill>
                <w14:solidFill>
                  <w14:schemeClr w14:val="tx1"/>
                </w14:solidFill>
              </w14:textFill>
            </w:rPr>
            <w:fldChar w:fldCharType="end"/>
          </w:r>
        </w:p>
      </w:sdtContent>
    </w:sdt>
    <w:p>
      <w:pPr>
        <w:ind w:left="1079" w:leftChars="514" w:firstLine="1260" w:firstLineChars="350"/>
        <w:rPr>
          <w:rFonts w:ascii="宋体" w:hAnsi="宋体"/>
          <w:color w:val="000000" w:themeColor="text1"/>
          <w:sz w:val="36"/>
          <w:szCs w:val="36"/>
          <w14:textFill>
            <w14:solidFill>
              <w14:schemeClr w14:val="tx1"/>
            </w14:solidFill>
          </w14:textFill>
        </w:rPr>
      </w:pPr>
    </w:p>
    <w:p>
      <w:pPr>
        <w:ind w:left="1079" w:leftChars="514" w:firstLine="1260" w:firstLineChars="350"/>
        <w:rPr>
          <w:rFonts w:ascii="宋体" w:hAnsi="宋体"/>
          <w:color w:val="000000" w:themeColor="text1"/>
          <w:sz w:val="36"/>
          <w:szCs w:val="36"/>
          <w14:textFill>
            <w14:solidFill>
              <w14:schemeClr w14:val="tx1"/>
            </w14:solidFill>
          </w14:textFill>
        </w:rPr>
      </w:pPr>
    </w:p>
    <w:p>
      <w:pPr>
        <w:ind w:left="1079" w:leftChars="514" w:firstLine="1260" w:firstLineChars="350"/>
        <w:rPr>
          <w:rFonts w:ascii="宋体" w:hAnsi="宋体"/>
          <w:color w:val="000000" w:themeColor="text1"/>
          <w:sz w:val="36"/>
          <w:szCs w:val="36"/>
          <w14:textFill>
            <w14:solidFill>
              <w14:schemeClr w14:val="tx1"/>
            </w14:solidFill>
          </w14:textFill>
        </w:rPr>
      </w:pPr>
    </w:p>
    <w:p>
      <w:pPr>
        <w:pStyle w:val="20"/>
        <w:ind w:firstLine="720"/>
        <w:rPr>
          <w:rFonts w:ascii="宋体" w:hAnsi="宋体"/>
          <w:color w:val="000000" w:themeColor="text1"/>
          <w:sz w:val="36"/>
          <w:szCs w:val="36"/>
          <w14:textFill>
            <w14:solidFill>
              <w14:schemeClr w14:val="tx1"/>
            </w14:solidFill>
          </w14:textFill>
        </w:rPr>
      </w:pPr>
    </w:p>
    <w:p>
      <w:pPr>
        <w:pStyle w:val="20"/>
        <w:ind w:firstLine="720"/>
        <w:rPr>
          <w:rFonts w:ascii="宋体" w:hAnsi="宋体"/>
          <w:color w:val="000000" w:themeColor="text1"/>
          <w:sz w:val="36"/>
          <w:szCs w:val="36"/>
          <w14:textFill>
            <w14:solidFill>
              <w14:schemeClr w14:val="tx1"/>
            </w14:solidFill>
          </w14:textFill>
        </w:rPr>
      </w:pPr>
    </w:p>
    <w:p>
      <w:pPr>
        <w:pStyle w:val="20"/>
        <w:ind w:firstLine="720"/>
        <w:rPr>
          <w:rFonts w:ascii="宋体" w:hAnsi="宋体"/>
          <w:color w:val="000000" w:themeColor="text1"/>
          <w:sz w:val="36"/>
          <w:szCs w:val="36"/>
          <w14:textFill>
            <w14:solidFill>
              <w14:schemeClr w14:val="tx1"/>
            </w14:solidFill>
          </w14:textFill>
        </w:rPr>
      </w:pPr>
    </w:p>
    <w:p>
      <w:pPr>
        <w:pStyle w:val="20"/>
        <w:ind w:firstLine="720"/>
        <w:rPr>
          <w:rFonts w:ascii="宋体" w:hAnsi="宋体"/>
          <w:color w:val="000000" w:themeColor="text1"/>
          <w:sz w:val="36"/>
          <w:szCs w:val="36"/>
          <w14:textFill>
            <w14:solidFill>
              <w14:schemeClr w14:val="tx1"/>
            </w14:solidFill>
          </w14:textFill>
        </w:rPr>
      </w:pPr>
    </w:p>
    <w:p>
      <w:pPr>
        <w:pStyle w:val="20"/>
        <w:ind w:left="0" w:leftChars="0" w:firstLine="0" w:firstLineChars="0"/>
        <w:rPr>
          <w:rFonts w:ascii="宋体" w:hAnsi="宋体"/>
          <w:color w:val="000000" w:themeColor="text1"/>
          <w:sz w:val="36"/>
          <w:szCs w:val="36"/>
          <w14:textFill>
            <w14:solidFill>
              <w14:schemeClr w14:val="tx1"/>
            </w14:solidFill>
          </w14:textFill>
        </w:rPr>
      </w:pPr>
    </w:p>
    <w:p>
      <w:pPr>
        <w:pStyle w:val="20"/>
        <w:ind w:left="0" w:leftChars="0" w:firstLine="0" w:firstLineChars="0"/>
        <w:rPr>
          <w:rFonts w:ascii="宋体" w:hAnsi="宋体"/>
          <w:color w:val="000000" w:themeColor="text1"/>
          <w:sz w:val="36"/>
          <w:szCs w:val="36"/>
          <w14:textFill>
            <w14:solidFill>
              <w14:schemeClr w14:val="tx1"/>
            </w14:solidFill>
          </w14:textFill>
        </w:rPr>
      </w:pPr>
    </w:p>
    <w:p>
      <w:pPr>
        <w:pStyle w:val="20"/>
        <w:ind w:left="0" w:leftChars="0" w:firstLine="0" w:firstLineChars="0"/>
        <w:rPr>
          <w:rFonts w:ascii="宋体" w:hAnsi="宋体"/>
          <w:color w:val="000000" w:themeColor="text1"/>
          <w:sz w:val="36"/>
          <w:szCs w:val="36"/>
          <w14:textFill>
            <w14:solidFill>
              <w14:schemeClr w14:val="tx1"/>
            </w14:solidFill>
          </w14:textFill>
        </w:rPr>
      </w:pPr>
    </w:p>
    <w:bookmarkEnd w:id="0"/>
    <w:bookmarkEnd w:id="1"/>
    <w:bookmarkEnd w:id="2"/>
    <w:bookmarkEnd w:id="3"/>
    <w:bookmarkEnd w:id="4"/>
    <w:bookmarkEnd w:id="5"/>
    <w:bookmarkEnd w:id="6"/>
    <w:bookmarkEnd w:id="7"/>
    <w:bookmarkEnd w:id="8"/>
    <w:bookmarkEnd w:id="9"/>
    <w:bookmarkEnd w:id="10"/>
    <w:p>
      <w:pPr>
        <w:ind w:left="0" w:firstLine="0" w:firstLineChars="0"/>
        <w:jc w:val="center"/>
        <w:outlineLvl w:val="0"/>
        <w:rPr>
          <w:rFonts w:hint="default" w:ascii="宋体" w:hAnsi="宋体" w:eastAsia="宋体" w:cs="宋体"/>
          <w:b w:val="0"/>
          <w:bCs w:val="0"/>
          <w:color w:val="auto"/>
          <w:sz w:val="20"/>
          <w:szCs w:val="20"/>
          <w:highlight w:val="none"/>
          <w:lang w:val="en-US" w:eastAsia="zh-CN"/>
        </w:rPr>
      </w:pPr>
      <w:r>
        <w:rPr>
          <w:rFonts w:hint="eastAsia" w:ascii="宋体" w:hAnsi="宋体"/>
          <w:b/>
          <w:sz w:val="28"/>
          <w:szCs w:val="28"/>
          <w:lang w:val="en-US" w:eastAsia="zh-CN"/>
        </w:rPr>
        <w:t xml:space="preserve">  </w:t>
      </w:r>
      <w:r>
        <w:rPr>
          <w:rFonts w:hint="eastAsia" w:ascii="宋体" w:hAnsi="宋体" w:cs="宋体"/>
          <w:b w:val="0"/>
          <w:bCs w:val="0"/>
          <w:color w:val="auto"/>
          <w:sz w:val="18"/>
          <w:szCs w:val="18"/>
          <w:highlight w:val="none"/>
          <w:lang w:val="en-US" w:eastAsia="zh-CN"/>
        </w:rPr>
        <w:t xml:space="preserve">                                                            </w:t>
      </w:r>
    </w:p>
    <w:p>
      <w:pPr>
        <w:ind w:left="0" w:firstLine="0" w:firstLineChars="0"/>
        <w:jc w:val="center"/>
        <w:outlineLvl w:val="0"/>
        <w:rPr>
          <w:rFonts w:hint="default" w:ascii="宋体" w:hAnsi="宋体" w:eastAsia="宋体" w:cs="宋体"/>
          <w:b w:val="0"/>
          <w:bCs w:val="0"/>
          <w:color w:val="auto"/>
          <w:sz w:val="20"/>
          <w:szCs w:val="20"/>
          <w:highlight w:val="none"/>
          <w:lang w:val="en-US" w:eastAsia="zh-CN"/>
        </w:rPr>
      </w:pPr>
      <w:r>
        <w:rPr>
          <w:rFonts w:hint="eastAsia" w:ascii="宋体" w:hAnsi="宋体"/>
          <w:b/>
          <w:sz w:val="28"/>
          <w:szCs w:val="28"/>
        </w:rPr>
        <w:t>第一章招标公告</w:t>
      </w:r>
      <w:r>
        <w:rPr>
          <w:rFonts w:hint="eastAsia" w:ascii="宋体" w:hAnsi="宋体"/>
          <w:b/>
          <w:sz w:val="28"/>
          <w:szCs w:val="28"/>
          <w:lang w:val="en-US" w:eastAsia="zh-CN"/>
        </w:rPr>
        <w:t xml:space="preserve">  </w:t>
      </w:r>
      <w:r>
        <w:rPr>
          <w:rFonts w:hint="eastAsia" w:ascii="宋体" w:hAnsi="宋体" w:cs="宋体"/>
          <w:b w:val="0"/>
          <w:bCs w:val="0"/>
          <w:color w:val="auto"/>
          <w:sz w:val="18"/>
          <w:szCs w:val="18"/>
          <w:highlight w:val="none"/>
          <w:lang w:val="en-US" w:eastAsia="zh-CN"/>
        </w:rPr>
        <w:t xml:space="preserve">                                                             </w:t>
      </w:r>
    </w:p>
    <w:p>
      <w:pPr>
        <w:widowControl/>
        <w:spacing w:line="320" w:lineRule="exact"/>
        <w:ind w:left="141" w:hanging="141"/>
        <w:jc w:val="center"/>
        <w:rPr>
          <w:rFonts w:hint="eastAsia" w:ascii="宋体" w:hAnsi="宋体"/>
          <w:b/>
          <w:sz w:val="32"/>
          <w:szCs w:val="32"/>
        </w:rPr>
      </w:pPr>
      <w:r>
        <w:rPr>
          <w:rFonts w:hint="eastAsia" w:ascii="宋体" w:hAnsi="宋体"/>
          <w:b/>
          <w:sz w:val="32"/>
          <w:szCs w:val="32"/>
          <w:lang w:val="en-US" w:eastAsia="zh-CN"/>
        </w:rPr>
        <w:t>和田市</w:t>
      </w:r>
      <w:r>
        <w:rPr>
          <w:rFonts w:hint="eastAsia" w:ascii="宋体" w:hAnsi="宋体"/>
          <w:b/>
          <w:sz w:val="32"/>
          <w:szCs w:val="32"/>
        </w:rPr>
        <w:t>农村房屋安全性鉴定工作采购项目</w:t>
      </w:r>
    </w:p>
    <w:p>
      <w:pPr>
        <w:widowControl/>
        <w:spacing w:line="320" w:lineRule="exact"/>
        <w:ind w:left="141" w:hanging="141"/>
        <w:jc w:val="center"/>
        <w:rPr>
          <w:rFonts w:hint="eastAsia" w:ascii="宋体" w:hAnsi="宋体"/>
          <w:b/>
          <w:sz w:val="32"/>
          <w:szCs w:val="32"/>
        </w:rPr>
      </w:pPr>
      <w:r>
        <w:rPr>
          <w:rFonts w:hint="eastAsia" w:ascii="宋体" w:hAnsi="宋体"/>
          <w:b/>
          <w:sz w:val="32"/>
          <w:szCs w:val="32"/>
        </w:rPr>
        <w:t>公开招标公告</w:t>
      </w:r>
    </w:p>
    <w:p>
      <w:pPr>
        <w:pStyle w:val="162"/>
        <w:keepNext w:val="0"/>
        <w:keepLines w:val="0"/>
        <w:widowControl w:val="0"/>
        <w:shd w:val="clear" w:color="auto" w:fill="auto"/>
        <w:bidi w:val="0"/>
        <w:spacing w:before="0" w:after="0" w:line="427" w:lineRule="exact"/>
        <w:ind w:left="360" w:right="0" w:firstLine="480"/>
        <w:jc w:val="both"/>
        <w:rPr>
          <w:rFonts w:hint="eastAsia" w:asciiTheme="minorEastAsia" w:hAnsiTheme="minorEastAsia" w:eastAsiaTheme="minorEastAsia" w:cstheme="minorEastAsia"/>
          <w:color w:val="auto"/>
          <w:kern w:val="2"/>
          <w:sz w:val="21"/>
          <w:szCs w:val="21"/>
          <w:highlight w:val="none"/>
          <w:u w:val="none"/>
          <w:shd w:val="clear"/>
          <w:lang w:val="en-US" w:eastAsia="zh-CN" w:bidi="ar-SA"/>
        </w:rPr>
      </w:pPr>
      <w:r>
        <w:rPr>
          <w:rFonts w:hint="eastAsia" w:asciiTheme="minorEastAsia" w:hAnsiTheme="minorEastAsia" w:eastAsiaTheme="minorEastAsia" w:cstheme="minorEastAsia"/>
          <w:color w:val="auto"/>
          <w:kern w:val="2"/>
          <w:sz w:val="21"/>
          <w:szCs w:val="21"/>
          <w:highlight w:val="none"/>
          <w:u w:val="none"/>
          <w:shd w:val="clear"/>
          <w:lang w:val="en-US" w:eastAsia="zh-CN" w:bidi="ar-SA"/>
        </w:rPr>
        <w:t>根据《中华人民共和国政府采购法》等有关法律法规规定，新疆天麒工程项目管理咨询有限责任公司受和田市住房和城乡建设局的委托，对</w:t>
      </w: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和田市农村房屋安全性鉴定工作采购项目</w:t>
      </w:r>
      <w:r>
        <w:rPr>
          <w:rFonts w:hint="eastAsia" w:asciiTheme="minorEastAsia" w:hAnsiTheme="minorEastAsia" w:eastAsiaTheme="minorEastAsia" w:cstheme="minorEastAsia"/>
          <w:color w:val="auto"/>
          <w:kern w:val="2"/>
          <w:sz w:val="21"/>
          <w:szCs w:val="21"/>
          <w:highlight w:val="none"/>
          <w:u w:val="none"/>
          <w:shd w:val="clear"/>
          <w:lang w:val="en-US" w:eastAsia="zh-CN" w:bidi="ar-SA"/>
        </w:rPr>
        <w:t>进行公开招标：</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一、采购项目编号：</w:t>
      </w:r>
      <w:r>
        <w:rPr>
          <w:rFonts w:hint="eastAsia" w:asciiTheme="minorEastAsia" w:hAnsiTheme="minorEastAsia" w:eastAsiaTheme="minorEastAsia" w:cstheme="minorEastAsia"/>
          <w:color w:val="auto"/>
          <w:sz w:val="21"/>
          <w:szCs w:val="21"/>
          <w:highlight w:val="none"/>
          <w:shd w:val="clear" w:color="auto" w:fill="auto"/>
          <w:lang w:val="en-US" w:eastAsia="zh-CN"/>
        </w:rPr>
        <w:t>TQHTFGS-HT-2020-29</w:t>
      </w:r>
      <w:r>
        <w:rPr>
          <w:rFonts w:hint="eastAsia" w:asciiTheme="minorEastAsia" w:hAnsiTheme="minorEastAsia" w:eastAsiaTheme="minorEastAsia" w:cstheme="minorEastAsia"/>
          <w:color w:val="auto"/>
          <w:sz w:val="21"/>
          <w:szCs w:val="21"/>
          <w:highlight w:val="none"/>
          <w:shd w:val="clear" w:color="auto" w:fill="auto"/>
        </w:rPr>
        <w:t>号</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二、采购组织类型</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分散采购-分散委托中介</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三、采购项目概况：</w:t>
      </w:r>
    </w:p>
    <w:tbl>
      <w:tblPr>
        <w:tblStyle w:val="70"/>
        <w:tblW w:w="10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1"/>
        <w:gridCol w:w="2205"/>
        <w:gridCol w:w="1124"/>
        <w:gridCol w:w="1516"/>
        <w:gridCol w:w="2729"/>
        <w:gridCol w:w="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4" w:hRule="atLeast"/>
          <w:jc w:val="center"/>
        </w:trPr>
        <w:tc>
          <w:tcPr>
            <w:tcW w:w="1741"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标项名称</w:t>
            </w:r>
          </w:p>
        </w:tc>
        <w:tc>
          <w:tcPr>
            <w:tcW w:w="2205"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项目地点</w:t>
            </w:r>
          </w:p>
        </w:tc>
        <w:tc>
          <w:tcPr>
            <w:tcW w:w="1124"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户数合计</w:t>
            </w:r>
          </w:p>
        </w:tc>
        <w:tc>
          <w:tcPr>
            <w:tcW w:w="1516"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预算金额(元)</w:t>
            </w:r>
          </w:p>
        </w:tc>
        <w:tc>
          <w:tcPr>
            <w:tcW w:w="2729"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firstLineChars="20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简要规格描述</w:t>
            </w:r>
          </w:p>
        </w:tc>
        <w:tc>
          <w:tcPr>
            <w:tcW w:w="792"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15" w:hRule="atLeast"/>
          <w:jc w:val="center"/>
        </w:trPr>
        <w:tc>
          <w:tcPr>
            <w:tcW w:w="1741"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和田市农村房屋安全性鉴定工作采购项目（</w:t>
            </w:r>
            <w:r>
              <w:rPr>
                <w:rFonts w:hint="eastAsia" w:asciiTheme="minorEastAsia" w:hAnsiTheme="minorEastAsia" w:eastAsiaTheme="minorEastAsia" w:cstheme="minorEastAsia"/>
                <w:color w:val="auto"/>
                <w:sz w:val="21"/>
                <w:szCs w:val="21"/>
                <w:highlight w:val="none"/>
                <w:lang w:val="en-US" w:eastAsia="zh-CN"/>
              </w:rPr>
              <w:t>包一</w:t>
            </w: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w:t>
            </w:r>
          </w:p>
        </w:tc>
        <w:tc>
          <w:tcPr>
            <w:tcW w:w="2205"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阿克恰勒乡、吉亚乡、吐沙拉镇、伊里其乡、夏玛勒巴格片区</w:t>
            </w:r>
          </w:p>
        </w:tc>
        <w:tc>
          <w:tcPr>
            <w:tcW w:w="1124"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26319户</w:t>
            </w:r>
          </w:p>
        </w:tc>
        <w:tc>
          <w:tcPr>
            <w:tcW w:w="1516"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2633926.60</w:t>
            </w:r>
          </w:p>
        </w:tc>
        <w:tc>
          <w:tcPr>
            <w:tcW w:w="2729" w:type="dxa"/>
            <w:vMerge w:val="restart"/>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对和田市5.3万户农户院内所有房屋进行安全性鉴定，房屋结构安全隐患排查、检测等，主要对房屋结构安全状况进行鉴别、评定，为房屋安全鉴定和管理提供技术支撑。为采购人提供科学、可靠、有效的检测数据和检测报告。每户计划鉴定费用为100元。</w:t>
            </w:r>
          </w:p>
        </w:tc>
        <w:tc>
          <w:tcPr>
            <w:tcW w:w="792" w:type="dxa"/>
            <w:vMerge w:val="restart"/>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具体参数详见招标文件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95" w:hRule="atLeast"/>
          <w:jc w:val="center"/>
        </w:trPr>
        <w:tc>
          <w:tcPr>
            <w:tcW w:w="1741"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和田市农村房屋安全性鉴定工作采购项目（</w:t>
            </w:r>
            <w:r>
              <w:rPr>
                <w:rFonts w:hint="eastAsia" w:asciiTheme="minorEastAsia" w:hAnsiTheme="minorEastAsia" w:eastAsiaTheme="minorEastAsia" w:cstheme="minorEastAsia"/>
                <w:color w:val="auto"/>
                <w:sz w:val="21"/>
                <w:szCs w:val="21"/>
                <w:highlight w:val="none"/>
                <w:lang w:val="en-US" w:eastAsia="zh-CN"/>
              </w:rPr>
              <w:t>包二</w:t>
            </w: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w:t>
            </w:r>
          </w:p>
        </w:tc>
        <w:tc>
          <w:tcPr>
            <w:tcW w:w="2205"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古江巴格乡、拉斯奎镇、肖尔巴格乡、玉龙喀什镇、古江巴格街道、古勒巴格街道、纳尔巴格街道</w:t>
            </w:r>
          </w:p>
        </w:tc>
        <w:tc>
          <w:tcPr>
            <w:tcW w:w="1124"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26640户</w:t>
            </w:r>
          </w:p>
        </w:tc>
        <w:tc>
          <w:tcPr>
            <w:tcW w:w="1516"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2666051.30</w:t>
            </w:r>
          </w:p>
        </w:tc>
        <w:tc>
          <w:tcPr>
            <w:tcW w:w="2729" w:type="dxa"/>
            <w:vMerge w:val="continue"/>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p>
        </w:tc>
        <w:tc>
          <w:tcPr>
            <w:tcW w:w="792" w:type="dxa"/>
            <w:vMerge w:val="continue"/>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cstheme="minorEastAsia"/>
                <w:color w:val="auto"/>
                <w:sz w:val="21"/>
                <w:szCs w:val="21"/>
                <w:highlight w:val="none"/>
                <w:lang w:val="en-US" w:eastAsia="zh-CN"/>
              </w:rPr>
            </w:pPr>
          </w:p>
        </w:tc>
      </w:tr>
    </w:tbl>
    <w:p>
      <w:pPr>
        <w:keepNext w:val="0"/>
        <w:keepLines w:val="0"/>
        <w:pageBreakBefore w:val="0"/>
        <w:widowControl/>
        <w:kinsoku/>
        <w:wordWrap/>
        <w:overflowPunct/>
        <w:topLinePunct w:val="0"/>
        <w:autoSpaceDE/>
        <w:autoSpaceDN/>
        <w:bidi w:val="0"/>
        <w:adjustRightInd/>
        <w:snapToGrid/>
        <w:spacing w:before="75" w:after="75" w:line="34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四、投标供应商资格要求:</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宋体" w:hAnsi="宋体" w:eastAsia="宋体" w:cs="宋体"/>
          <w:sz w:val="21"/>
          <w:szCs w:val="21"/>
          <w:highlight w:val="none"/>
        </w:rPr>
        <w:t>供应商必须符合《中华人民共和国政府采购法》第二十二条规定：具有独立法人资格，有独立承担民事行为责任的能力；能</w:t>
      </w:r>
      <w:r>
        <w:rPr>
          <w:rFonts w:hint="eastAsia" w:ascii="宋体" w:hAnsi="宋体" w:cs="宋体"/>
          <w:sz w:val="21"/>
          <w:szCs w:val="21"/>
          <w:highlight w:val="none"/>
          <w:lang w:val="en-US" w:eastAsia="zh-CN"/>
        </w:rPr>
        <w:t>承担</w:t>
      </w:r>
      <w:r>
        <w:rPr>
          <w:rFonts w:hint="eastAsia" w:ascii="宋体" w:hAnsi="宋体" w:eastAsia="宋体" w:cs="宋体"/>
          <w:sz w:val="21"/>
          <w:szCs w:val="21"/>
          <w:highlight w:val="none"/>
        </w:rPr>
        <w:t>本项目全部服务的投标人；</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2、投标人需具备</w:t>
      </w:r>
      <w:r>
        <w:rPr>
          <w:rFonts w:hint="eastAsia" w:asciiTheme="minorEastAsia" w:hAnsiTheme="minorEastAsia" w:eastAsiaTheme="minorEastAsia" w:cstheme="minorEastAsia"/>
          <w:color w:val="auto"/>
          <w:sz w:val="21"/>
          <w:szCs w:val="21"/>
          <w:highlight w:val="none"/>
          <w:lang w:val="en-US" w:eastAsia="zh-CN"/>
        </w:rPr>
        <w:t>有效的营业执照、税务登记证、组织机构代码证（或</w:t>
      </w:r>
      <w:r>
        <w:rPr>
          <w:rFonts w:hint="eastAsia" w:asciiTheme="minorEastAsia" w:hAnsiTheme="minorEastAsia" w:eastAsiaTheme="minorEastAsia" w:cstheme="minorEastAsia"/>
          <w:color w:val="auto"/>
          <w:sz w:val="21"/>
          <w:szCs w:val="21"/>
          <w:highlight w:val="none"/>
        </w:rPr>
        <w:t>三证合一营业执照</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，法人委托人须携带法人代表授权书原件及委托人身份证原件(授权书需附法人身份证及委托人身份证复印件)</w:t>
      </w:r>
      <w:r>
        <w:rPr>
          <w:rFonts w:hint="eastAsia" w:asciiTheme="minorEastAsia" w:hAnsiTheme="minorEastAsia" w:eastAsiaTheme="minorEastAsia" w:cstheme="minorEastAsia"/>
          <w:color w:val="auto"/>
          <w:sz w:val="21"/>
          <w:szCs w:val="21"/>
          <w:highlight w:val="none"/>
          <w:lang w:eastAsia="zh-CN"/>
        </w:rPr>
        <w:t>；被授权委托人在本单位缴纳的近</w:t>
      </w:r>
      <w:r>
        <w:rPr>
          <w:rFonts w:hint="eastAsia" w:asciiTheme="minorEastAsia" w:hAnsiTheme="minorEastAsia" w:eastAsiaTheme="minorEastAsia" w:cstheme="minorEastAsia"/>
          <w:color w:val="auto"/>
          <w:sz w:val="21"/>
          <w:szCs w:val="21"/>
          <w:highlight w:val="none"/>
          <w:lang w:val="en-US" w:eastAsia="zh-CN"/>
        </w:rPr>
        <w:t>六</w:t>
      </w:r>
      <w:r>
        <w:rPr>
          <w:rFonts w:hint="eastAsia" w:asciiTheme="minorEastAsia" w:hAnsiTheme="minorEastAsia" w:eastAsiaTheme="minorEastAsia" w:cstheme="minorEastAsia"/>
          <w:color w:val="auto"/>
          <w:sz w:val="21"/>
          <w:szCs w:val="21"/>
          <w:highlight w:val="none"/>
          <w:lang w:eastAsia="zh-CN"/>
        </w:rPr>
        <w:t>个月内社保缴纳证明（社保缴费凭证原件和个人明细表）；</w:t>
      </w:r>
    </w:p>
    <w:p>
      <w:pPr>
        <w:pStyle w:val="2"/>
        <w:ind w:firstLine="420" w:firstLineChars="200"/>
        <w:rPr>
          <w:rFonts w:hint="eastAsia"/>
          <w:lang w:eastAsia="zh-CN"/>
        </w:rPr>
      </w:pPr>
      <w:r>
        <w:rPr>
          <w:rFonts w:hint="eastAsia"/>
          <w:lang w:val="en-US" w:eastAsia="zh-CN"/>
        </w:rPr>
        <w:t>3、建设工程质量检测机构资质证书（须包含主体结构工程检测等专项检测）原件；</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具有良好的商业信誉和健全的财务会计制度（提供近一年度财务审计报告）；</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凡拟参加本次招标项目的投标人，如在“信用中国”网站(WWW.creditchina.gov.cn)、中国政府釆购网(www.ccgp.gov.cn)、国家企业信用信息公示系统(http://www.gsxt.gov.cn)</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中国裁判文书网（http://wenshu.court.gov.cn/）</w:t>
      </w:r>
      <w:r>
        <w:rPr>
          <w:rFonts w:hint="eastAsia" w:ascii="宋体" w:hAnsi="宋体" w:eastAsia="宋体" w:cs="宋体"/>
          <w:sz w:val="21"/>
          <w:szCs w:val="21"/>
          <w:highlight w:val="none"/>
        </w:rPr>
        <w:t>被列入失信被执行人、重大税收违法案件当事人名单、政府采购严重违法失信行为记录名单的(尚在处罚期内的)、经营异常名录的，将拒绝其参与本次政府釆购活动</w:t>
      </w:r>
      <w:r>
        <w:rPr>
          <w:rFonts w:hint="eastAsia" w:ascii="宋体" w:hAnsi="宋体" w:cs="宋体"/>
          <w:sz w:val="21"/>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本项目不接受联合体投标。</w:t>
      </w:r>
    </w:p>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五、招标文件的报名/发售时间、地址、售价:</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报名（发售／获取）地址：在符合该招标（采购）公告投标人资格要求条件的前提下，可于本公告发布之日起在新疆政府采购网（http://www.ccgp-xinjiang.gov.cn/）及和田市人民政府网（https://www.hts.gov.cn/）的该采购公告附件中直接下载招标（采购）文件并参与投标，不再需要报名，在开标时一并进行资格审核。</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w:t>
      </w:r>
      <w:r>
        <w:rPr>
          <w:rFonts w:hint="eastAsia" w:ascii="宋体" w:hAnsi="宋体" w:cs="宋体"/>
          <w:sz w:val="21"/>
          <w:szCs w:val="21"/>
          <w:highlight w:val="none"/>
          <w:lang w:val="en-US" w:eastAsia="zh-CN"/>
        </w:rPr>
        <w:t>招标文件</w:t>
      </w:r>
      <w:r>
        <w:rPr>
          <w:rFonts w:hint="eastAsia" w:ascii="宋体" w:hAnsi="宋体" w:eastAsia="宋体" w:cs="宋体"/>
          <w:sz w:val="21"/>
          <w:szCs w:val="21"/>
          <w:highlight w:val="none"/>
        </w:rPr>
        <w:t>售价(元)：</w:t>
      </w:r>
      <w:r>
        <w:rPr>
          <w:rFonts w:hint="eastAsia" w:ascii="宋体" w:hAnsi="宋体" w:eastAsia="宋体" w:cs="宋体"/>
          <w:sz w:val="21"/>
          <w:szCs w:val="21"/>
          <w:highlight w:val="none"/>
          <w:lang w:val="en-US" w:eastAsia="zh-CN"/>
        </w:rPr>
        <w:t>0</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3、投标人购买标书时应提交的资料：无，在开标时一并进行资格审核（详见投标供应商资格）</w:t>
      </w:r>
    </w:p>
    <w:p>
      <w:pPr>
        <w:keepNext w:val="0"/>
        <w:keepLines w:val="0"/>
        <w:pageBreakBefore w:val="0"/>
        <w:widowControl/>
        <w:kinsoku/>
        <w:wordWrap/>
        <w:overflowPunct/>
        <w:topLinePunct w:val="0"/>
        <w:autoSpaceDE/>
        <w:autoSpaceDN/>
        <w:bidi w:val="0"/>
        <w:adjustRightInd/>
        <w:snapToGrid/>
        <w:spacing w:before="75" w:after="75"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六、投标截止时间：20</w:t>
      </w:r>
      <w:r>
        <w:rPr>
          <w:rFonts w:hint="eastAsia" w:asciiTheme="minorEastAsia" w:hAnsiTheme="minorEastAsia" w:eastAsiaTheme="minorEastAsia" w:cstheme="minorEastAsia"/>
          <w:color w:val="auto"/>
          <w:sz w:val="21"/>
          <w:szCs w:val="21"/>
          <w:highlight w:val="none"/>
          <w:lang w:val="en-US" w:eastAsia="zh-CN"/>
        </w:rPr>
        <w:t>20年6月03日</w:t>
      </w:r>
      <w:r>
        <w:rPr>
          <w:rFonts w:hint="eastAsia" w:asciiTheme="minorEastAsia" w:hAnsiTheme="minorEastAsia" w:eastAsiaTheme="minorEastAsia" w:cstheme="minorEastAsia"/>
          <w:color w:val="auto"/>
          <w:sz w:val="21"/>
          <w:szCs w:val="21"/>
          <w:highlight w:val="none"/>
        </w:rPr>
        <w:t xml:space="preserve"> 1</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:00</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七、投标地址：</w:t>
      </w:r>
      <w:r>
        <w:rPr>
          <w:rFonts w:hint="eastAsia" w:asciiTheme="minorEastAsia" w:hAnsiTheme="minorEastAsia" w:eastAsiaTheme="minorEastAsia" w:cstheme="minorEastAsia"/>
          <w:color w:val="auto"/>
          <w:sz w:val="21"/>
          <w:szCs w:val="21"/>
          <w:highlight w:val="none"/>
          <w:lang w:eastAsia="zh-CN"/>
        </w:rPr>
        <w:t>和田市公共资源交易中心（和田市北京工业园区滨河路10号三桥桥头处）</w:t>
      </w:r>
      <w:r>
        <w:rPr>
          <w:rFonts w:hint="eastAsia" w:asciiTheme="minorEastAsia" w:hAnsiTheme="minorEastAsia" w:eastAsiaTheme="minorEastAsia" w:cstheme="minorEastAsia"/>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八、开标时间：20</w:t>
      </w:r>
      <w:r>
        <w:rPr>
          <w:rFonts w:hint="eastAsia" w:asciiTheme="minorEastAsia" w:hAnsiTheme="minorEastAsia" w:eastAsiaTheme="minorEastAsia" w:cstheme="minorEastAsia"/>
          <w:color w:val="auto"/>
          <w:sz w:val="21"/>
          <w:szCs w:val="21"/>
          <w:highlight w:val="none"/>
          <w:lang w:val="en-US" w:eastAsia="zh-CN"/>
        </w:rPr>
        <w:t>20年6月03日</w:t>
      </w:r>
      <w:r>
        <w:rPr>
          <w:rFonts w:hint="eastAsia" w:asciiTheme="minorEastAsia" w:hAnsiTheme="minorEastAsia" w:eastAsiaTheme="minorEastAsia" w:cstheme="minorEastAsia"/>
          <w:color w:val="auto"/>
          <w:sz w:val="21"/>
          <w:szCs w:val="21"/>
          <w:highlight w:val="none"/>
        </w:rPr>
        <w:t xml:space="preserve"> 1</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:00</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九、开标地址：</w:t>
      </w:r>
      <w:r>
        <w:rPr>
          <w:rFonts w:hint="eastAsia" w:asciiTheme="minorEastAsia" w:hAnsiTheme="minorEastAsia" w:eastAsiaTheme="minorEastAsia" w:cstheme="minorEastAsia"/>
          <w:color w:val="auto"/>
          <w:sz w:val="21"/>
          <w:szCs w:val="21"/>
          <w:highlight w:val="none"/>
          <w:lang w:eastAsia="zh-CN"/>
        </w:rPr>
        <w:t>和田市公共资源交易中心（和田市北京工业园区滨河路10号三桥桥头处）</w:t>
      </w:r>
      <w:r>
        <w:rPr>
          <w:rFonts w:hint="eastAsia" w:asciiTheme="minorEastAsia" w:hAnsiTheme="minorEastAsia" w:eastAsiaTheme="minorEastAsia" w:cstheme="minorEastAsia"/>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十、投标保证金：</w:t>
      </w:r>
    </w:p>
    <w:tbl>
      <w:tblPr>
        <w:tblStyle w:val="70"/>
        <w:tblpPr w:leftFromText="180" w:rightFromText="180" w:vertAnchor="text" w:horzAnchor="page" w:tblpXSpec="center" w:tblpY="272"/>
        <w:tblOverlap w:val="never"/>
        <w:tblW w:w="98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461"/>
        <w:gridCol w:w="1923"/>
        <w:gridCol w:w="1155"/>
        <w:gridCol w:w="1110"/>
        <w:gridCol w:w="1620"/>
        <w:gridCol w:w="931"/>
        <w:gridCol w:w="26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0" w:hRule="atLeast"/>
          <w:jc w:val="center"/>
        </w:trPr>
        <w:tc>
          <w:tcPr>
            <w:tcW w:w="461"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序号</w:t>
            </w:r>
          </w:p>
        </w:tc>
        <w:tc>
          <w:tcPr>
            <w:tcW w:w="1923"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标项名称</w:t>
            </w:r>
          </w:p>
        </w:tc>
        <w:tc>
          <w:tcPr>
            <w:tcW w:w="1155"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投标保证金金额（元）</w:t>
            </w:r>
          </w:p>
        </w:tc>
        <w:tc>
          <w:tcPr>
            <w:tcW w:w="1110"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开户银行</w:t>
            </w:r>
          </w:p>
        </w:tc>
        <w:tc>
          <w:tcPr>
            <w:tcW w:w="1620"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收款账号</w:t>
            </w:r>
          </w:p>
        </w:tc>
        <w:tc>
          <w:tcPr>
            <w:tcW w:w="931"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交付方式</w:t>
            </w:r>
          </w:p>
        </w:tc>
        <w:tc>
          <w:tcPr>
            <w:tcW w:w="2669"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1155" w:hRule="atLeast"/>
          <w:jc w:val="center"/>
        </w:trPr>
        <w:tc>
          <w:tcPr>
            <w:tcW w:w="461"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kern w:val="0"/>
                <w:sz w:val="21"/>
                <w:szCs w:val="21"/>
                <w:highlight w:val="none"/>
                <w:lang w:bidi="ar"/>
              </w:rPr>
              <w:t>1</w:t>
            </w:r>
          </w:p>
        </w:tc>
        <w:tc>
          <w:tcPr>
            <w:tcW w:w="1923"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spacing w:before="75" w:after="75" w:line="340" w:lineRule="exact"/>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和田市农村房屋安全性鉴定工作采购项目（</w:t>
            </w:r>
            <w:r>
              <w:rPr>
                <w:rFonts w:hint="eastAsia" w:asciiTheme="minorEastAsia" w:hAnsiTheme="minorEastAsia" w:eastAsiaTheme="minorEastAsia" w:cstheme="minorEastAsia"/>
                <w:kern w:val="0"/>
                <w:sz w:val="21"/>
                <w:szCs w:val="21"/>
                <w:highlight w:val="none"/>
                <w:lang w:val="en-US" w:eastAsia="zh-CN" w:bidi="ar"/>
              </w:rPr>
              <w:t>包一）</w:t>
            </w:r>
          </w:p>
        </w:tc>
        <w:tc>
          <w:tcPr>
            <w:tcW w:w="1155"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52000.00</w:t>
            </w:r>
          </w:p>
        </w:tc>
        <w:tc>
          <w:tcPr>
            <w:tcW w:w="1110" w:type="dxa"/>
            <w:vMerge w:val="restart"/>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kern w:val="0"/>
                <w:sz w:val="21"/>
                <w:szCs w:val="21"/>
                <w:highlight w:val="none"/>
                <w:lang w:bidi="ar"/>
              </w:rPr>
              <w:t>中行和田乌鲁木齐北路支行</w:t>
            </w:r>
          </w:p>
        </w:tc>
        <w:tc>
          <w:tcPr>
            <w:tcW w:w="1620" w:type="dxa"/>
            <w:vMerge w:val="restart"/>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kern w:val="0"/>
                <w:sz w:val="21"/>
                <w:szCs w:val="21"/>
                <w:highlight w:val="none"/>
                <w:lang w:bidi="ar"/>
              </w:rPr>
              <w:t>107031722125</w:t>
            </w:r>
          </w:p>
        </w:tc>
        <w:tc>
          <w:tcPr>
            <w:tcW w:w="931" w:type="dxa"/>
            <w:vMerge w:val="restart"/>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kern w:val="0"/>
                <w:sz w:val="21"/>
                <w:szCs w:val="21"/>
                <w:highlight w:val="none"/>
                <w:lang w:bidi="ar"/>
              </w:rPr>
              <w:t>由投标单位的基本账户转至指定账户</w:t>
            </w:r>
          </w:p>
        </w:tc>
        <w:tc>
          <w:tcPr>
            <w:tcW w:w="2669" w:type="dxa"/>
            <w:vMerge w:val="restart"/>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kern w:val="0"/>
                <w:sz w:val="21"/>
                <w:szCs w:val="21"/>
                <w:highlight w:val="none"/>
                <w:lang w:bidi="ar"/>
              </w:rPr>
              <w:t>请于2020年</w:t>
            </w:r>
            <w:r>
              <w:rPr>
                <w:rFonts w:hint="eastAsia" w:asciiTheme="minorEastAsia" w:hAnsiTheme="minorEastAsia" w:eastAsiaTheme="minorEastAsia" w:cstheme="minorEastAsia"/>
                <w:kern w:val="0"/>
                <w:sz w:val="21"/>
                <w:szCs w:val="21"/>
                <w:highlight w:val="none"/>
                <w:lang w:val="en-US" w:eastAsia="zh-CN" w:bidi="ar"/>
              </w:rPr>
              <w:t>6</w:t>
            </w:r>
            <w:r>
              <w:rPr>
                <w:rFonts w:hint="eastAsia" w:asciiTheme="minorEastAsia" w:hAnsiTheme="minorEastAsia" w:eastAsiaTheme="minorEastAsia" w:cstheme="minorEastAsia"/>
                <w:kern w:val="0"/>
                <w:sz w:val="21"/>
                <w:szCs w:val="21"/>
                <w:highlight w:val="none"/>
                <w:lang w:bidi="ar"/>
              </w:rPr>
              <w:t>月</w:t>
            </w:r>
            <w:r>
              <w:rPr>
                <w:rFonts w:hint="eastAsia" w:asciiTheme="minorEastAsia" w:hAnsiTheme="minorEastAsia" w:eastAsiaTheme="minorEastAsia" w:cstheme="minorEastAsia"/>
                <w:kern w:val="0"/>
                <w:sz w:val="21"/>
                <w:szCs w:val="21"/>
                <w:highlight w:val="none"/>
                <w:lang w:val="en-US" w:eastAsia="zh-CN" w:bidi="ar"/>
              </w:rPr>
              <w:t>02</w:t>
            </w:r>
            <w:r>
              <w:rPr>
                <w:rFonts w:hint="eastAsia" w:asciiTheme="minorEastAsia" w:hAnsiTheme="minorEastAsia" w:eastAsiaTheme="minorEastAsia" w:cstheme="minorEastAsia"/>
                <w:kern w:val="0"/>
                <w:sz w:val="21"/>
                <w:szCs w:val="21"/>
                <w:highlight w:val="none"/>
                <w:lang w:bidi="ar"/>
              </w:rPr>
              <w:t>日</w:t>
            </w:r>
            <w:r>
              <w:rPr>
                <w:rFonts w:hint="eastAsia" w:asciiTheme="minorEastAsia" w:hAnsiTheme="minorEastAsia" w:eastAsiaTheme="minorEastAsia" w:cstheme="minorEastAsia"/>
                <w:kern w:val="0"/>
                <w:sz w:val="21"/>
                <w:szCs w:val="21"/>
                <w:highlight w:val="none"/>
                <w:lang w:val="en-US" w:eastAsia="zh-CN" w:bidi="ar"/>
              </w:rPr>
              <w:t>19</w:t>
            </w:r>
            <w:r>
              <w:rPr>
                <w:rFonts w:hint="eastAsia" w:asciiTheme="minorEastAsia" w:hAnsiTheme="minorEastAsia" w:eastAsiaTheme="minorEastAsia" w:cstheme="minorEastAsia"/>
                <w:kern w:val="0"/>
                <w:sz w:val="21"/>
                <w:szCs w:val="21"/>
                <w:highlight w:val="none"/>
                <w:lang w:bidi="ar"/>
              </w:rPr>
              <w:t>:</w:t>
            </w:r>
            <w:r>
              <w:rPr>
                <w:rFonts w:hint="eastAsia" w:asciiTheme="minorEastAsia" w:hAnsiTheme="minorEastAsia" w:eastAsiaTheme="minorEastAsia" w:cstheme="minorEastAsia"/>
                <w:kern w:val="0"/>
                <w:sz w:val="21"/>
                <w:szCs w:val="21"/>
                <w:highlight w:val="none"/>
                <w:lang w:val="en-US" w:eastAsia="zh-CN" w:bidi="ar"/>
              </w:rPr>
              <w:t>3</w:t>
            </w:r>
            <w:r>
              <w:rPr>
                <w:rFonts w:hint="eastAsia" w:asciiTheme="minorEastAsia" w:hAnsiTheme="minorEastAsia" w:eastAsiaTheme="minorEastAsia" w:cstheme="minorEastAsia"/>
                <w:kern w:val="0"/>
                <w:sz w:val="21"/>
                <w:szCs w:val="21"/>
                <w:highlight w:val="none"/>
                <w:lang w:bidi="ar"/>
              </w:rPr>
              <w:t>0（北京时间）前缴入指定账户，由投标单位的基本账户转至指定账户（必须注明项目名称，无须到和田市公共资源交易中心换取收据，开标时需携带投标保证金电子回单）。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jc w:val="center"/>
        </w:trPr>
        <w:tc>
          <w:tcPr>
            <w:tcW w:w="461"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2</w:t>
            </w:r>
          </w:p>
        </w:tc>
        <w:tc>
          <w:tcPr>
            <w:tcW w:w="1923"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spacing w:before="75" w:after="75" w:line="340" w:lineRule="exact"/>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和田市农村房屋安全性鉴定工作采购项目（</w:t>
            </w:r>
            <w:r>
              <w:rPr>
                <w:rFonts w:hint="eastAsia" w:asciiTheme="minorEastAsia" w:hAnsiTheme="minorEastAsia" w:eastAsiaTheme="minorEastAsia" w:cstheme="minorEastAsia"/>
                <w:kern w:val="0"/>
                <w:sz w:val="21"/>
                <w:szCs w:val="21"/>
                <w:highlight w:val="none"/>
                <w:lang w:val="en-US" w:eastAsia="zh-CN" w:bidi="ar"/>
              </w:rPr>
              <w:t>包二）</w:t>
            </w:r>
          </w:p>
        </w:tc>
        <w:tc>
          <w:tcPr>
            <w:tcW w:w="1155"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53000.00</w:t>
            </w:r>
          </w:p>
        </w:tc>
        <w:tc>
          <w:tcPr>
            <w:tcW w:w="1110" w:type="dxa"/>
            <w:vMerge w:val="continue"/>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p>
        </w:tc>
        <w:tc>
          <w:tcPr>
            <w:tcW w:w="1620" w:type="dxa"/>
            <w:vMerge w:val="continue"/>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p>
        </w:tc>
        <w:tc>
          <w:tcPr>
            <w:tcW w:w="931" w:type="dxa"/>
            <w:vMerge w:val="continue"/>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p>
        </w:tc>
        <w:tc>
          <w:tcPr>
            <w:tcW w:w="2669" w:type="dxa"/>
            <w:vMerge w:val="continue"/>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p>
        </w:tc>
      </w:tr>
    </w:tbl>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十一、其他事项：</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项目公告期限为5个工作日，供应商认为采购文件使自己的权益受到损害的，可以自收到采购文件之日（发售截止日之后收到采购文件的，以发售截止日为准）或者采购文件公告期限届满之日（公告发布后的第6个工作日）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十二、联系方式</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1、采购代理机构名称：</w:t>
      </w:r>
      <w:r>
        <w:rPr>
          <w:rFonts w:hint="eastAsia" w:asciiTheme="minorEastAsia" w:hAnsiTheme="minorEastAsia" w:eastAsiaTheme="minorEastAsia" w:cstheme="minorEastAsia"/>
          <w:color w:val="auto"/>
          <w:sz w:val="21"/>
          <w:szCs w:val="21"/>
          <w:highlight w:val="none"/>
          <w:lang w:val="en-US" w:eastAsia="zh-CN"/>
        </w:rPr>
        <w:t>新疆天麒工程项目管理咨询有限责任公司</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lang w:val="en-US" w:eastAsia="zh-CN"/>
        </w:rPr>
        <w:t xml:space="preserve">翟彦飞                    </w:t>
      </w:r>
      <w:r>
        <w:rPr>
          <w:rFonts w:hint="eastAsia" w:asciiTheme="minorEastAsia" w:hAnsiTheme="minorEastAsia" w:eastAsiaTheme="minorEastAsia" w:cstheme="minorEastAsia"/>
          <w:color w:val="auto"/>
          <w:sz w:val="21"/>
          <w:szCs w:val="21"/>
          <w:highlight w:val="none"/>
        </w:rPr>
        <w:t>联系电话：0903-</w:t>
      </w:r>
      <w:r>
        <w:rPr>
          <w:rFonts w:hint="eastAsia" w:asciiTheme="minorEastAsia" w:hAnsiTheme="minorEastAsia" w:eastAsiaTheme="minorEastAsia" w:cstheme="minorEastAsia"/>
          <w:color w:val="auto"/>
          <w:sz w:val="21"/>
          <w:szCs w:val="21"/>
          <w:highlight w:val="none"/>
          <w:lang w:val="en-US" w:eastAsia="zh-CN"/>
        </w:rPr>
        <w:t>6870055</w:t>
      </w:r>
      <w:r>
        <w:rPr>
          <w:rFonts w:hint="eastAsia" w:asciiTheme="minorEastAsia" w:hAnsiTheme="minorEastAsia" w:eastAsiaTheme="minorEastAsia" w:cstheme="minorEastAsia"/>
          <w:color w:val="auto"/>
          <w:sz w:val="21"/>
          <w:szCs w:val="21"/>
          <w:highlight w:val="none"/>
        </w:rPr>
        <w:t xml:space="preserve"> </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地址：</w:t>
      </w:r>
      <w:r>
        <w:rPr>
          <w:rFonts w:hint="eastAsia" w:asciiTheme="minorEastAsia" w:hAnsiTheme="minorEastAsia" w:eastAsiaTheme="minorEastAsia" w:cstheme="minorEastAsia"/>
          <w:color w:val="auto"/>
          <w:sz w:val="21"/>
          <w:szCs w:val="21"/>
          <w:highlight w:val="none"/>
          <w:lang w:val="en-US" w:eastAsia="zh-CN"/>
        </w:rPr>
        <w:t>和田市屯垦西路138号龙煤大厦12楼12-10室</w:t>
      </w:r>
    </w:p>
    <w:p>
      <w:pPr>
        <w:keepNext w:val="0"/>
        <w:keepLines w:val="0"/>
        <w:pageBreakBefore w:val="0"/>
        <w:widowControl/>
        <w:numPr>
          <w:ilvl w:val="0"/>
          <w:numId w:val="4"/>
        </w:numPr>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采购人名称：</w:t>
      </w:r>
      <w:r>
        <w:rPr>
          <w:rFonts w:hint="eastAsia" w:asciiTheme="minorEastAsia" w:hAnsiTheme="minorEastAsia" w:eastAsiaTheme="minorEastAsia" w:cstheme="minorEastAsia"/>
          <w:color w:val="auto"/>
          <w:kern w:val="2"/>
          <w:sz w:val="21"/>
          <w:szCs w:val="21"/>
          <w:highlight w:val="none"/>
          <w:u w:val="none"/>
          <w:shd w:val="clear"/>
          <w:lang w:val="en-US" w:eastAsia="zh-CN" w:bidi="ar-SA"/>
        </w:rPr>
        <w:t>和田市住房和城乡建设局</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 xml:space="preserve">联系人： </w:t>
      </w:r>
      <w:r>
        <w:rPr>
          <w:rFonts w:hint="eastAsia" w:asciiTheme="minorEastAsia" w:hAnsiTheme="minorEastAsia" w:eastAsiaTheme="minorEastAsia" w:cstheme="minorEastAsia"/>
          <w:color w:val="auto"/>
          <w:sz w:val="21"/>
          <w:szCs w:val="21"/>
          <w:highlight w:val="none"/>
          <w:lang w:val="en-US" w:eastAsia="zh-CN"/>
        </w:rPr>
        <w:t>卢俊丽</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联系电话：</w:t>
      </w:r>
      <w:r>
        <w:rPr>
          <w:rFonts w:hint="eastAsia" w:asciiTheme="minorEastAsia" w:hAnsiTheme="minorEastAsia" w:eastAsiaTheme="minorEastAsia" w:cstheme="minorEastAsia"/>
          <w:color w:val="auto"/>
          <w:sz w:val="21"/>
          <w:szCs w:val="21"/>
          <w:highlight w:val="none"/>
          <w:lang w:val="en-US" w:eastAsia="zh-CN"/>
        </w:rPr>
        <w:t>0903-2562371</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3、同级政府采购监督管理部门名称：</w:t>
      </w:r>
      <w:r>
        <w:rPr>
          <w:rFonts w:hint="eastAsia" w:asciiTheme="minorEastAsia" w:hAnsiTheme="minorEastAsia" w:eastAsiaTheme="minorEastAsia" w:cstheme="minorEastAsia"/>
          <w:color w:val="auto"/>
          <w:sz w:val="21"/>
          <w:szCs w:val="21"/>
          <w:highlight w:val="none"/>
          <w:lang w:val="en-US" w:eastAsia="zh-CN"/>
        </w:rPr>
        <w:t>和田市</w:t>
      </w:r>
      <w:r>
        <w:rPr>
          <w:rFonts w:hint="eastAsia" w:asciiTheme="minorEastAsia" w:hAnsiTheme="minorEastAsia" w:eastAsiaTheme="minorEastAsia" w:cstheme="minorEastAsia"/>
          <w:color w:val="auto"/>
          <w:sz w:val="21"/>
          <w:szCs w:val="21"/>
          <w:highlight w:val="none"/>
        </w:rPr>
        <w:t>政府采购办 </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lang w:val="en-US" w:eastAsia="zh-CN"/>
        </w:rPr>
        <w:t>刘敏</w:t>
      </w:r>
      <w:r>
        <w:rPr>
          <w:rFonts w:hint="eastAsia" w:asciiTheme="minorEastAsia" w:hAnsiTheme="minorEastAsia" w:eastAsiaTheme="minorEastAsia" w:cstheme="minorEastAsia"/>
          <w:color w:val="auto"/>
          <w:sz w:val="21"/>
          <w:szCs w:val="21"/>
          <w:highlight w:val="none"/>
        </w:rPr>
        <w:t xml:space="preserve">                      监督投诉电话：0903-2516256 </w:t>
      </w:r>
    </w:p>
    <w:p>
      <w:pPr>
        <w:keepNext w:val="0"/>
        <w:keepLines w:val="0"/>
        <w:pageBreakBefore w:val="0"/>
        <w:widowControl/>
        <w:kinsoku/>
        <w:wordWrap/>
        <w:overflowPunct/>
        <w:topLinePunct w:val="0"/>
        <w:autoSpaceDE/>
        <w:autoSpaceDN/>
        <w:bidi w:val="0"/>
        <w:adjustRightInd/>
        <w:snapToGrid/>
        <w:spacing w:before="75" w:after="75" w:line="340" w:lineRule="exact"/>
        <w:ind w:left="1155" w:leftChars="300" w:hanging="525" w:hangingChars="250"/>
        <w:jc w:val="left"/>
        <w:textAlignment w:val="auto"/>
        <w:rPr>
          <w:rFonts w:hint="eastAsia" w:asciiTheme="minorEastAsia" w:hAnsiTheme="minorEastAsia" w:eastAsiaTheme="minorEastAsia" w:cstheme="minorEastAsia"/>
          <w:color w:val="auto"/>
          <w:kern w:val="2"/>
          <w:sz w:val="21"/>
          <w:szCs w:val="21"/>
          <w:highlight w:val="none"/>
          <w:u w:val="none"/>
          <w:shd w:val="clear"/>
          <w:lang w:val="en-US" w:eastAsia="zh-CN" w:bidi="ar-SA"/>
        </w:rPr>
      </w:pPr>
    </w:p>
    <w:p>
      <w:pPr>
        <w:keepNext w:val="0"/>
        <w:keepLines w:val="0"/>
        <w:pageBreakBefore w:val="0"/>
        <w:widowControl/>
        <w:kinsoku/>
        <w:wordWrap/>
        <w:overflowPunct/>
        <w:topLinePunct w:val="0"/>
        <w:autoSpaceDE/>
        <w:autoSpaceDN/>
        <w:bidi w:val="0"/>
        <w:adjustRightInd/>
        <w:snapToGrid/>
        <w:spacing w:before="75" w:after="75" w:line="340" w:lineRule="exact"/>
        <w:ind w:left="1155" w:leftChars="300" w:hanging="525" w:hangingChars="25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u w:val="none"/>
          <w:shd w:val="clear"/>
          <w:lang w:val="en-US" w:eastAsia="zh-CN" w:bidi="ar-SA"/>
        </w:rPr>
        <w:t>和田市住房和城乡建设局</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 xml:space="preserve">新疆天麒工程项目管理咨询有限责任公司     </w:t>
      </w:r>
      <w:r>
        <w:rPr>
          <w:rFonts w:hint="eastAsia" w:asciiTheme="minorEastAsia" w:hAnsiTheme="minorEastAsia" w:eastAsiaTheme="minorEastAsia" w:cstheme="minorEastAsia"/>
          <w:color w:val="auto"/>
          <w:sz w:val="21"/>
          <w:szCs w:val="21"/>
          <w:highlight w:val="none"/>
        </w:rPr>
        <w:t>20</w:t>
      </w:r>
      <w:r>
        <w:rPr>
          <w:rFonts w:hint="eastAsia" w:asciiTheme="minorEastAsia" w:hAnsiTheme="minorEastAsia" w:eastAsiaTheme="minorEastAsia" w:cstheme="minorEastAsia"/>
          <w:color w:val="auto"/>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 xml:space="preserve">日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20</w:t>
      </w:r>
      <w:r>
        <w:rPr>
          <w:rFonts w:hint="eastAsia" w:asciiTheme="minorEastAsia" w:hAnsiTheme="minorEastAsia" w:eastAsiaTheme="minorEastAsia" w:cstheme="minorEastAsia"/>
          <w:color w:val="auto"/>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 xml:space="preserve">日 </w:t>
      </w:r>
    </w:p>
    <w:p>
      <w:pPr>
        <w:pStyle w:val="2"/>
        <w:rPr>
          <w:rFonts w:hint="eastAsia"/>
        </w:rPr>
      </w:pPr>
    </w:p>
    <w:p>
      <w:pPr>
        <w:widowControl/>
        <w:spacing w:line="320" w:lineRule="exact"/>
        <w:ind w:left="141" w:hanging="141"/>
        <w:jc w:val="center"/>
        <w:outlineLvl w:val="0"/>
        <w:rPr>
          <w:rFonts w:ascii="宋体" w:hAnsi="宋体"/>
          <w:b/>
          <w:sz w:val="28"/>
          <w:szCs w:val="28"/>
        </w:rPr>
      </w:pPr>
      <w:bookmarkStart w:id="11" w:name="_Toc7533"/>
      <w:r>
        <w:rPr>
          <w:rFonts w:hint="eastAsia" w:ascii="宋体" w:hAnsi="宋体"/>
          <w:b/>
          <w:sz w:val="28"/>
          <w:szCs w:val="28"/>
        </w:rPr>
        <w:t>第二章  投标人须知</w:t>
      </w:r>
      <w:bookmarkEnd w:id="11"/>
    </w:p>
    <w:p>
      <w:pPr>
        <w:widowControl/>
        <w:spacing w:line="320" w:lineRule="exact"/>
        <w:ind w:left="141" w:hanging="141"/>
        <w:rPr>
          <w:rFonts w:ascii="宋体" w:hAnsi="宋体"/>
          <w:b/>
          <w:sz w:val="28"/>
          <w:szCs w:val="28"/>
        </w:rPr>
      </w:pPr>
    </w:p>
    <w:p>
      <w:pPr>
        <w:widowControl/>
        <w:spacing w:line="320" w:lineRule="exact"/>
        <w:ind w:left="141" w:hanging="141"/>
        <w:jc w:val="center"/>
        <w:rPr>
          <w:rFonts w:ascii="宋体" w:hAnsi="宋体"/>
          <w:b/>
          <w:sz w:val="28"/>
          <w:szCs w:val="28"/>
        </w:rPr>
      </w:pPr>
      <w:r>
        <w:rPr>
          <w:rFonts w:hint="eastAsia" w:ascii="宋体" w:hAnsi="宋体"/>
          <w:b/>
          <w:sz w:val="28"/>
          <w:szCs w:val="28"/>
        </w:rPr>
        <w:t>投标人须知前附表</w:t>
      </w:r>
    </w:p>
    <w:p>
      <w:pPr>
        <w:widowControl/>
        <w:spacing w:line="320" w:lineRule="exact"/>
        <w:ind w:left="141" w:hanging="141"/>
        <w:jc w:val="center"/>
        <w:rPr>
          <w:rFonts w:ascii="宋体" w:hAnsi="宋体"/>
          <w:b/>
          <w:sz w:val="28"/>
          <w:szCs w:val="28"/>
        </w:rPr>
      </w:pPr>
    </w:p>
    <w:tbl>
      <w:tblPr>
        <w:tblStyle w:val="70"/>
        <w:tblW w:w="955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01"/>
        <w:gridCol w:w="2040"/>
        <w:gridCol w:w="68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4" w:hRule="atLeast"/>
          <w:jc w:val="center"/>
        </w:trPr>
        <w:tc>
          <w:tcPr>
            <w:tcW w:w="701" w:type="dxa"/>
            <w:tcBorders>
              <w:top w:val="single" w:color="auto" w:sz="12"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b/>
                <w:sz w:val="24"/>
              </w:rPr>
            </w:pPr>
            <w:r>
              <w:rPr>
                <w:rFonts w:hint="eastAsia" w:ascii="宋体" w:hAnsi="宋体" w:eastAsia="宋体" w:cs="Times New Roman"/>
                <w:b/>
                <w:sz w:val="24"/>
              </w:rPr>
              <w:t>序号</w:t>
            </w:r>
          </w:p>
        </w:tc>
        <w:tc>
          <w:tcPr>
            <w:tcW w:w="2040" w:type="dxa"/>
            <w:tcBorders>
              <w:top w:val="single" w:color="auto" w:sz="12"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b/>
                <w:sz w:val="24"/>
              </w:rPr>
            </w:pPr>
            <w:r>
              <w:rPr>
                <w:rFonts w:hint="eastAsia" w:ascii="宋体" w:hAnsi="宋体" w:eastAsia="宋体" w:cs="Times New Roman"/>
                <w:b/>
                <w:sz w:val="24"/>
              </w:rPr>
              <w:t>条款名称</w:t>
            </w:r>
          </w:p>
        </w:tc>
        <w:tc>
          <w:tcPr>
            <w:tcW w:w="6814" w:type="dxa"/>
            <w:tcBorders>
              <w:top w:val="single" w:color="auto" w:sz="12" w:space="0"/>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b/>
                <w:sz w:val="24"/>
              </w:rPr>
            </w:pPr>
            <w:r>
              <w:rPr>
                <w:rFonts w:hint="eastAsia" w:ascii="宋体" w:hAnsi="宋体" w:eastAsia="宋体" w:cs="Times New Roman"/>
                <w:b/>
                <w:sz w:val="24"/>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35"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ascii="宋体" w:hAnsi="宋体" w:eastAsia="宋体" w:cs="Times New Roman"/>
                <w:sz w:val="24"/>
              </w:rPr>
              <w:t>1</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center"/>
              <w:textAlignment w:val="auto"/>
              <w:rPr>
                <w:rFonts w:ascii="宋体" w:hAnsi="Times New Roman" w:eastAsia="宋体" w:cs="Times New Roman"/>
                <w:sz w:val="24"/>
              </w:rPr>
            </w:pPr>
            <w:r>
              <w:rPr>
                <w:rFonts w:hint="eastAsia" w:ascii="宋体" w:hAnsi="宋体" w:eastAsia="宋体" w:cs="Times New Roman"/>
                <w:sz w:val="24"/>
              </w:rPr>
              <w:t>采购人</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eastAsia" w:ascii="宋体" w:hAnsi="宋体" w:eastAsia="宋体" w:cs="Times New Roman"/>
                <w:sz w:val="24"/>
                <w:lang w:val="en-US" w:eastAsia="zh-CN"/>
              </w:rPr>
            </w:pPr>
            <w:r>
              <w:rPr>
                <w:rFonts w:hint="eastAsia" w:ascii="宋体" w:hAnsi="宋体" w:eastAsia="宋体" w:cs="宋体"/>
                <w:kern w:val="0"/>
                <w:sz w:val="24"/>
              </w:rPr>
              <w:t>名</w:t>
            </w:r>
            <w:r>
              <w:rPr>
                <w:rFonts w:ascii="宋体" w:hAnsi="宋体" w:eastAsia="宋体" w:cs="宋体"/>
                <w:kern w:val="0"/>
                <w:sz w:val="24"/>
              </w:rPr>
              <w:t xml:space="preserve">  </w:t>
            </w:r>
            <w:r>
              <w:rPr>
                <w:rFonts w:hint="eastAsia" w:ascii="宋体" w:hAnsi="宋体" w:eastAsia="宋体" w:cs="宋体"/>
                <w:kern w:val="0"/>
                <w:sz w:val="24"/>
              </w:rPr>
              <w:t>称：</w:t>
            </w:r>
            <w:r>
              <w:rPr>
                <w:rFonts w:hint="eastAsia" w:ascii="宋体" w:hAnsi="宋体" w:eastAsia="宋体" w:cs="Times New Roman"/>
                <w:sz w:val="24"/>
                <w:lang w:val="en-US" w:eastAsia="zh-CN"/>
              </w:rPr>
              <w:t>和田市住房和城乡建设局</w:t>
            </w:r>
          </w:p>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default" w:ascii="宋体" w:hAnsi="宋体" w:eastAsia="宋体" w:cs="Times New Roman"/>
                <w:sz w:val="24"/>
                <w:lang w:val="en-US" w:eastAsia="zh-CN"/>
              </w:rPr>
            </w:pPr>
            <w:r>
              <w:rPr>
                <w:rFonts w:hint="eastAsia" w:ascii="宋体" w:hAnsi="宋体" w:eastAsia="宋体" w:cs="Times New Roman"/>
                <w:sz w:val="24"/>
                <w:lang w:val="zh-CN"/>
              </w:rPr>
              <w:t xml:space="preserve">联系人: </w:t>
            </w:r>
            <w:r>
              <w:rPr>
                <w:rFonts w:hint="eastAsia" w:ascii="宋体" w:hAnsi="宋体" w:eastAsia="宋体" w:cs="Times New Roman"/>
                <w:sz w:val="24"/>
                <w:lang w:val="en-US" w:eastAsia="zh-CN"/>
              </w:rPr>
              <w:t>卢俊丽</w:t>
            </w:r>
          </w:p>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default" w:ascii="宋体" w:hAnsi="Times New Roman" w:eastAsia="宋体" w:cs="Times New Roman"/>
                <w:sz w:val="24"/>
                <w:lang w:val="en-US"/>
              </w:rPr>
            </w:pPr>
            <w:r>
              <w:rPr>
                <w:rFonts w:hint="eastAsia" w:ascii="宋体" w:hAnsi="宋体" w:eastAsia="宋体" w:cs="Times New Roman"/>
                <w:sz w:val="24"/>
                <w:lang w:val="zh-CN"/>
              </w:rPr>
              <w:t xml:space="preserve">电  话： </w:t>
            </w:r>
            <w:r>
              <w:rPr>
                <w:rFonts w:hint="eastAsia" w:ascii="宋体" w:hAnsi="宋体" w:eastAsia="宋体" w:cs="Times New Roman"/>
                <w:sz w:val="24"/>
                <w:lang w:val="en-US" w:eastAsia="zh-CN"/>
              </w:rPr>
              <w:t>0903-2562371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27"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ascii="宋体" w:hAnsi="宋体" w:eastAsia="宋体" w:cs="Times New Roman"/>
                <w:sz w:val="24"/>
              </w:rPr>
              <w:t>2</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center"/>
              <w:textAlignment w:val="auto"/>
              <w:rPr>
                <w:rFonts w:ascii="宋体" w:hAnsi="Times New Roman" w:eastAsia="宋体" w:cs="Times New Roman"/>
                <w:sz w:val="24"/>
              </w:rPr>
            </w:pPr>
            <w:r>
              <w:rPr>
                <w:rFonts w:hint="eastAsia" w:ascii="宋体" w:hAnsi="宋体" w:eastAsia="宋体" w:cs="Times New Roman"/>
                <w:sz w:val="24"/>
              </w:rPr>
              <w:t>代理机构</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eastAsia" w:ascii="宋体" w:hAnsi="宋体" w:eastAsia="宋体" w:cs="Times New Roman"/>
                <w:sz w:val="24"/>
                <w:lang w:eastAsia="zh-CN"/>
              </w:rPr>
            </w:pPr>
            <w:r>
              <w:rPr>
                <w:rFonts w:hint="eastAsia" w:ascii="宋体" w:hAnsi="宋体" w:eastAsia="宋体" w:cs="Times New Roman"/>
                <w:sz w:val="24"/>
              </w:rPr>
              <w:t>名</w:t>
            </w:r>
            <w:r>
              <w:rPr>
                <w:rFonts w:ascii="宋体" w:hAnsi="宋体" w:eastAsia="宋体" w:cs="Times New Roman"/>
                <w:sz w:val="24"/>
              </w:rPr>
              <w:t xml:space="preserve">  </w:t>
            </w:r>
            <w:r>
              <w:rPr>
                <w:rFonts w:hint="eastAsia" w:ascii="宋体" w:hAnsi="宋体" w:eastAsia="宋体" w:cs="Times New Roman"/>
                <w:sz w:val="24"/>
              </w:rPr>
              <w:t xml:space="preserve">称： </w:t>
            </w:r>
            <w:r>
              <w:rPr>
                <w:rFonts w:hint="eastAsia" w:ascii="宋体" w:hAnsi="宋体" w:eastAsia="宋体" w:cs="Times New Roman"/>
                <w:sz w:val="24"/>
                <w:lang w:val="en-US" w:eastAsia="zh-CN"/>
              </w:rPr>
              <w:t>新疆天麒工程项目管理咨询有限责任公司</w:t>
            </w:r>
          </w:p>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ascii="宋体" w:hAnsi="Times New Roman" w:eastAsia="宋体" w:cs="Times New Roman"/>
                <w:sz w:val="24"/>
              </w:rPr>
            </w:pPr>
            <w:r>
              <w:rPr>
                <w:rFonts w:hint="eastAsia" w:ascii="宋体" w:hAnsi="宋体" w:eastAsia="宋体" w:cs="Times New Roman"/>
                <w:sz w:val="24"/>
              </w:rPr>
              <w:t>地</w:t>
            </w:r>
            <w:r>
              <w:rPr>
                <w:rFonts w:ascii="宋体" w:hAnsi="宋体" w:eastAsia="宋体" w:cs="Times New Roman"/>
                <w:sz w:val="24"/>
              </w:rPr>
              <w:t xml:space="preserve">  </w:t>
            </w:r>
            <w:r>
              <w:rPr>
                <w:rFonts w:hint="eastAsia" w:ascii="宋体" w:hAnsi="宋体" w:eastAsia="宋体" w:cs="Times New Roman"/>
                <w:sz w:val="24"/>
              </w:rPr>
              <w:t>址：</w:t>
            </w:r>
            <w:r>
              <w:rPr>
                <w:rFonts w:hint="eastAsia" w:ascii="宋体" w:hAnsi="宋体" w:eastAsia="宋体" w:cs="Times New Roman"/>
                <w:sz w:val="24"/>
                <w:lang w:val="en-US" w:eastAsia="zh-CN"/>
              </w:rPr>
              <w:t>和田市屯垦西路138号龙煤大厦12楼12-10室</w:t>
            </w:r>
          </w:p>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default" w:ascii="宋体" w:hAnsi="Times New Roman" w:eastAsia="宋体" w:cs="Times New Roman"/>
                <w:sz w:val="24"/>
                <w:lang w:val="en-US" w:eastAsia="zh-CN"/>
              </w:rPr>
            </w:pPr>
            <w:r>
              <w:rPr>
                <w:rFonts w:hint="eastAsia" w:ascii="宋体" w:hAnsi="宋体" w:eastAsia="宋体" w:cs="Times New Roman"/>
                <w:sz w:val="24"/>
              </w:rPr>
              <w:t>联系人：</w:t>
            </w:r>
            <w:r>
              <w:rPr>
                <w:rFonts w:hint="eastAsia" w:ascii="宋体" w:hAnsi="宋体" w:cs="Times New Roman"/>
                <w:sz w:val="24"/>
                <w:lang w:val="en-US" w:eastAsia="zh-CN"/>
              </w:rPr>
              <w:t>翟彦飞</w:t>
            </w:r>
          </w:p>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default" w:ascii="宋体" w:hAnsi="Times New Roman" w:eastAsia="宋体" w:cs="Times New Roman"/>
                <w:sz w:val="24"/>
                <w:lang w:val="en-US" w:eastAsia="zh-CN"/>
              </w:rPr>
            </w:pPr>
            <w:r>
              <w:rPr>
                <w:rFonts w:hint="eastAsia" w:ascii="宋体" w:hAnsi="宋体" w:eastAsia="宋体" w:cs="Times New Roman"/>
                <w:sz w:val="24"/>
              </w:rPr>
              <w:t>电</w:t>
            </w:r>
            <w:r>
              <w:rPr>
                <w:rFonts w:ascii="宋体" w:hAnsi="宋体" w:eastAsia="宋体" w:cs="Times New Roman"/>
                <w:sz w:val="24"/>
              </w:rPr>
              <w:t xml:space="preserve">  </w:t>
            </w:r>
            <w:r>
              <w:rPr>
                <w:rFonts w:hint="eastAsia" w:ascii="宋体" w:hAnsi="宋体" w:eastAsia="宋体" w:cs="Times New Roman"/>
                <w:sz w:val="24"/>
              </w:rPr>
              <w:t>话：0903-</w:t>
            </w:r>
            <w:r>
              <w:rPr>
                <w:rFonts w:hint="eastAsia" w:ascii="宋体" w:hAnsi="宋体" w:eastAsia="宋体" w:cs="Times New Roman"/>
                <w:sz w:val="24"/>
                <w:lang w:val="en-US" w:eastAsia="zh-CN"/>
              </w:rPr>
              <w:t>2562371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ascii="宋体" w:hAnsi="宋体" w:eastAsia="宋体" w:cs="Times New Roman"/>
                <w:sz w:val="24"/>
              </w:rPr>
              <w:t>3</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宋体" w:eastAsia="宋体" w:cs="Times New Roman"/>
                <w:sz w:val="24"/>
              </w:rPr>
              <w:t>采购项目名称</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left"/>
              <w:textAlignment w:val="auto"/>
              <w:rPr>
                <w:rFonts w:hint="eastAsia" w:ascii="宋体" w:hAnsi="宋体" w:eastAsia="宋体" w:cs="Times New Roman"/>
                <w:sz w:val="24"/>
                <w:lang w:eastAsia="zh-CN"/>
              </w:rPr>
            </w:pPr>
            <w:r>
              <w:rPr>
                <w:rFonts w:hint="eastAsia" w:ascii="宋体" w:hAnsi="宋体" w:eastAsia="宋体" w:cs="Times New Roman"/>
                <w:sz w:val="24"/>
                <w:lang w:val="en-US" w:eastAsia="zh-CN"/>
              </w:rPr>
              <w:t>和田市农村房屋安全性鉴定工作采购项目</w:t>
            </w:r>
            <w:r>
              <w:rPr>
                <w:rFonts w:hint="eastAsia" w:ascii="宋体" w:hAnsi="宋体" w:eastAsia="宋体" w:cs="Times New Roman"/>
                <w:sz w:val="24"/>
                <w:lang w:eastAsia="zh-CN"/>
              </w:rPr>
              <w:t>（</w:t>
            </w:r>
            <w:r>
              <w:rPr>
                <w:rFonts w:hint="eastAsia" w:ascii="宋体" w:hAnsi="宋体" w:cs="Times New Roman"/>
                <w:sz w:val="24"/>
                <w:lang w:eastAsia="zh-CN"/>
              </w:rPr>
              <w:t>包二</w:t>
            </w:r>
            <w:r>
              <w:rPr>
                <w:rFonts w:hint="eastAsia" w:ascii="宋体" w:hAnsi="宋体" w:eastAsia="宋体" w:cs="Times New Roman"/>
                <w:sz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8"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宋体" w:eastAsia="宋体" w:cs="Times New Roman"/>
                <w:sz w:val="24"/>
              </w:rPr>
            </w:pPr>
            <w:r>
              <w:rPr>
                <w:rFonts w:hint="eastAsia" w:ascii="宋体" w:hAnsi="宋体" w:eastAsia="宋体" w:cs="Times New Roman"/>
                <w:sz w:val="24"/>
              </w:rPr>
              <w:t>4</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宋体" w:eastAsia="宋体" w:cs="Times New Roman"/>
                <w:sz w:val="24"/>
              </w:rPr>
            </w:pPr>
            <w:r>
              <w:rPr>
                <w:rFonts w:hint="eastAsia" w:ascii="宋体" w:hAnsi="宋体" w:eastAsia="宋体" w:cs="Times New Roman"/>
                <w:sz w:val="24"/>
              </w:rPr>
              <w:t>采购内容</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left"/>
              <w:textAlignment w:val="auto"/>
              <w:rPr>
                <w:rFonts w:hint="eastAsia" w:ascii="宋体" w:hAnsi="宋体" w:eastAsia="宋体" w:cs="Times New Roman"/>
                <w:sz w:val="24"/>
                <w:lang w:eastAsia="zh-CN"/>
              </w:rPr>
            </w:pPr>
            <w:r>
              <w:rPr>
                <w:rFonts w:hint="eastAsia" w:ascii="宋体" w:hAnsi="宋体" w:eastAsia="宋体" w:cs="Times New Roman"/>
                <w:sz w:val="24"/>
                <w:lang w:val="en-US" w:eastAsia="zh-CN"/>
              </w:rPr>
              <w:t>采购范围：房屋结构安全隐患排查、检测等，主要对房屋结构安全状况进行鉴别、评定，为房屋安全鉴定和管理提供技术支撑。为采购人提供科学、可靠、有效的检测数据和检测报告。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Times New Roman" w:eastAsia="宋体" w:cs="Times New Roman"/>
                <w:sz w:val="24"/>
              </w:rPr>
              <w:t>5</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sz w:val="24"/>
              </w:rPr>
            </w:pPr>
            <w:r>
              <w:rPr>
                <w:rFonts w:hint="eastAsia" w:ascii="宋体" w:hAnsi="宋体" w:eastAsia="宋体" w:cs="Times New Roman"/>
                <w:sz w:val="24"/>
              </w:rPr>
              <w:t>资金来源</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default" w:ascii="宋体" w:hAnsi="宋体" w:eastAsia="宋体" w:cs="Times New Roman"/>
                <w:color w:val="auto"/>
                <w:sz w:val="24"/>
                <w:lang w:val="en-US" w:eastAsia="zh-CN"/>
              </w:rPr>
            </w:pPr>
            <w:r>
              <w:rPr>
                <w:rFonts w:hint="eastAsia" w:ascii="宋体" w:hAnsi="宋体" w:cs="Times New Roman"/>
                <w:color w:val="auto"/>
                <w:sz w:val="24"/>
                <w:lang w:val="en-US" w:eastAsia="zh-CN"/>
              </w:rPr>
              <w:t>地方自筹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5"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Times New Roman" w:eastAsia="宋体" w:cs="Times New Roman"/>
                <w:sz w:val="24"/>
              </w:rPr>
              <w:t>6</w:t>
            </w:r>
          </w:p>
        </w:tc>
        <w:tc>
          <w:tcPr>
            <w:tcW w:w="2040" w:type="dxa"/>
            <w:tcBorders>
              <w:right w:val="single" w:color="auto" w:sz="4" w:space="0"/>
            </w:tcBorders>
            <w:vAlign w:val="center"/>
          </w:tcPr>
          <w:p>
            <w:pPr>
              <w:keepNext w:val="0"/>
              <w:keepLines w:val="0"/>
              <w:pageBreakBefore w:val="0"/>
              <w:tabs>
                <w:tab w:val="left" w:pos="900"/>
              </w:tabs>
              <w:kinsoku/>
              <w:wordWrap/>
              <w:overflowPunct/>
              <w:topLinePunct w:val="0"/>
              <w:autoSpaceDE/>
              <w:autoSpaceDN/>
              <w:bidi w:val="0"/>
              <w:adjustRightInd/>
              <w:snapToGrid/>
              <w:spacing w:beforeLines="10" w:afterLines="10" w:line="300" w:lineRule="exact"/>
              <w:ind w:left="0" w:right="0" w:firstLine="0" w:firstLineChars="0"/>
              <w:jc w:val="center"/>
              <w:textAlignment w:val="auto"/>
              <w:rPr>
                <w:rFonts w:ascii="宋体" w:hAnsi="Times New Roman" w:eastAsia="宋体" w:cs="Times New Roman"/>
                <w:sz w:val="24"/>
              </w:rPr>
            </w:pPr>
            <w:r>
              <w:rPr>
                <w:rFonts w:hint="eastAsia" w:ascii="宋体" w:hAnsi="宋体" w:eastAsia="宋体" w:cs="宋体"/>
                <w:kern w:val="0"/>
                <w:sz w:val="24"/>
              </w:rPr>
              <w:t>采购概算价</w:t>
            </w:r>
          </w:p>
        </w:tc>
        <w:tc>
          <w:tcPr>
            <w:tcW w:w="6814" w:type="dxa"/>
            <w:tcBorders>
              <w:left w:val="single" w:color="auto" w:sz="4" w:space="0"/>
            </w:tcBorders>
            <w:vAlign w:val="center"/>
          </w:tcPr>
          <w:p>
            <w:pPr>
              <w:keepNext w:val="0"/>
              <w:keepLines w:val="0"/>
              <w:pageBreakBefore w:val="0"/>
              <w:tabs>
                <w:tab w:val="left" w:pos="900"/>
              </w:tabs>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eastAsia" w:ascii="宋体" w:hAnsi="Times New Roman" w:eastAsia="宋体" w:cs="宋体"/>
                <w:color w:val="auto"/>
                <w:kern w:val="0"/>
                <w:sz w:val="24"/>
                <w:highlight w:val="none"/>
                <w:lang w:eastAsia="zh-CN"/>
              </w:rPr>
            </w:pPr>
            <w:r>
              <w:rPr>
                <w:rFonts w:hint="eastAsia" w:ascii="宋体" w:hAnsi="Times New Roman" w:eastAsia="宋体" w:cs="宋体"/>
                <w:color w:val="auto"/>
                <w:kern w:val="0"/>
                <w:sz w:val="24"/>
                <w:highlight w:val="none"/>
                <w:lang w:val="en-US" w:eastAsia="zh-CN"/>
              </w:rPr>
              <w:t>2666051.30</w:t>
            </w:r>
            <w:r>
              <w:rPr>
                <w:rFonts w:hint="eastAsia" w:ascii="宋体" w:hAnsi="Times New Roman" w:eastAsia="宋体" w:cs="宋体"/>
                <w:color w:val="auto"/>
                <w:kern w:val="0"/>
                <w:sz w:val="24"/>
                <w:highlight w:val="none"/>
              </w:rPr>
              <w:t>元</w:t>
            </w:r>
            <w:r>
              <w:rPr>
                <w:rFonts w:hint="eastAsia" w:ascii="宋体" w:hAnsi="Times New Roman" w:eastAsia="宋体" w:cs="宋体"/>
                <w:color w:val="auto"/>
                <w:kern w:val="0"/>
                <w:sz w:val="24"/>
                <w:highlight w:val="none"/>
                <w:lang w:eastAsia="zh-CN"/>
              </w:rPr>
              <w:t>，</w:t>
            </w:r>
            <w:r>
              <w:rPr>
                <w:rFonts w:hint="eastAsia" w:ascii="宋体" w:hAnsi="Times New Roman" w:eastAsia="宋体" w:cs="宋体"/>
                <w:b/>
                <w:bCs/>
                <w:color w:val="auto"/>
                <w:kern w:val="0"/>
                <w:sz w:val="24"/>
                <w:highlight w:val="none"/>
              </w:rPr>
              <w:t>投标报价高于预算限价按废标处理，敬请投标人注意</w:t>
            </w:r>
            <w:r>
              <w:rPr>
                <w:rFonts w:hint="eastAsia" w:ascii="宋体" w:cs="宋体"/>
                <w:b/>
                <w:bCs/>
                <w:color w:val="auto"/>
                <w:kern w:val="0"/>
                <w:sz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Times New Roman" w:eastAsia="宋体" w:cs="Times New Roman"/>
                <w:sz w:val="24"/>
              </w:rPr>
              <w:t>7</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u w:val="single"/>
              </w:rPr>
            </w:pPr>
            <w:r>
              <w:rPr>
                <w:rFonts w:hint="eastAsia" w:ascii="宋体" w:hAnsi="宋体" w:eastAsia="宋体" w:cs="宋体"/>
                <w:kern w:val="0"/>
                <w:sz w:val="24"/>
              </w:rPr>
              <w:t>采购方式</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sz w:val="24"/>
                <w:u w:val="single"/>
              </w:rPr>
            </w:pPr>
            <w:r>
              <w:rPr>
                <w:rFonts w:hint="eastAsia" w:ascii="宋体" w:hAnsi="宋体" w:eastAsia="宋体" w:cs="Times New Roman"/>
                <w:sz w:val="24"/>
              </w:rPr>
              <w:t>公开招标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4"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Times New Roman" w:eastAsia="宋体" w:cs="Times New Roman"/>
                <w:sz w:val="24"/>
              </w:rPr>
              <w:t>8</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宋体" w:eastAsia="宋体" w:cs="Times New Roman"/>
                <w:sz w:val="24"/>
              </w:rPr>
              <w:t>评标方法</w:t>
            </w:r>
          </w:p>
        </w:tc>
        <w:tc>
          <w:tcPr>
            <w:tcW w:w="6814"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75" w:after="75" w:line="300" w:lineRule="exact"/>
              <w:ind w:left="0" w:right="0" w:firstLine="0" w:firstLineChars="0"/>
              <w:jc w:val="left"/>
              <w:textAlignment w:val="auto"/>
              <w:rPr>
                <w:rFonts w:hint="default" w:ascii="宋体" w:hAnsi="Times New Roman" w:eastAsia="宋体" w:cs="Times New Roman"/>
                <w:sz w:val="24"/>
                <w:lang w:val="en-US" w:eastAsia="zh-CN"/>
              </w:rPr>
            </w:pPr>
            <w:r>
              <w:rPr>
                <w:rFonts w:hint="eastAsia" w:ascii="宋体" w:hAnsi="Times New Roman" w:eastAsia="宋体" w:cs="Times New Roman"/>
                <w:sz w:val="24"/>
                <w:lang w:val="en-US" w:eastAsia="zh-CN"/>
              </w:rPr>
              <w:t>综合评估法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sz w:val="24"/>
                <w:lang w:val="en-US" w:eastAsia="zh-CN"/>
              </w:rPr>
            </w:pPr>
            <w:r>
              <w:rPr>
                <w:rFonts w:hint="eastAsia" w:ascii="宋体" w:cs="Times New Roman"/>
                <w:sz w:val="24"/>
                <w:lang w:val="en-US" w:eastAsia="zh-CN"/>
              </w:rPr>
              <w:t>9</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sz w:val="24"/>
              </w:rPr>
            </w:pPr>
            <w:r>
              <w:rPr>
                <w:rFonts w:hint="eastAsia" w:asciiTheme="minorEastAsia" w:hAnsiTheme="minorEastAsia" w:eastAsiaTheme="minorEastAsia" w:cstheme="minorEastAsia"/>
                <w:color w:val="auto"/>
                <w:sz w:val="24"/>
                <w:szCs w:val="24"/>
                <w:highlight w:val="none"/>
              </w:rPr>
              <w:t>资格要求</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投标供应商资格要求:</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1、供应商必须符合《中华人民共和国政府采购法》第二十二条规定：具有独立法人资格，有独立承担民事行为责任的能力；能承担本项目全部服务的投标人；</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2、投标人需具备有效的营业执照、税务登记证、组织机构代码证（或三证合一营业执照），法人委托人须携带法人代表授权书原件及委托人身份证原件(授权书需附法人身份证及委托人身份证复印件)；被授权委托人在本单位缴纳的近六个月内社保缴纳证明（社保缴费凭证原件和个人明细表）；</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3、建设工程质量检测机构资质证书（须包含主体结构工程检测等专项检测）原件；</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4、具有良好的商业信誉和健全的财务会计制度（提供2019年度财务审计报告）；</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5、凡拟参加本次招标项目的投标人，如在“信用中国”网站(WWW.creditchina.gov.cn)、中国政府釆购网(www.ccgp.gov.cn)、国家企业信用信息公示系统(http://www.gsxt.gov.cn)、中国裁判文书网（http://wenshu.court.gov.cn/）被列入失信被执行人、重大税收违法案件当事人名单、政府采购严重违法失信行为记录名单的(尚在处罚期内的)、经营异常名录的，将拒绝其参与本次政府釆购活动；</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Times New Roman" w:eastAsia="宋体" w:cs="Times New Roman"/>
                <w:sz w:val="24"/>
                <w:lang w:val="en-US" w:eastAsia="zh-CN"/>
              </w:rPr>
            </w:pPr>
            <w:r>
              <w:rPr>
                <w:rFonts w:hint="eastAsia" w:ascii="宋体" w:hAnsi="宋体" w:cs="Times New Roman"/>
                <w:sz w:val="24"/>
                <w:lang w:val="en-US" w:eastAsia="zh-CN"/>
              </w:rPr>
              <w:t>6</w:t>
            </w:r>
            <w:r>
              <w:rPr>
                <w:rFonts w:hint="eastAsia" w:ascii="宋体" w:hAnsi="宋体" w:eastAsia="宋体" w:cs="Times New Roman"/>
                <w:sz w:val="24"/>
                <w:lang w:val="en-US" w:eastAsia="zh-CN"/>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default" w:ascii="宋体" w:hAnsi="Times New Roman" w:eastAsia="宋体" w:cs="Times New Roman"/>
                <w:sz w:val="24"/>
                <w:highlight w:val="none"/>
                <w:lang w:val="en-US" w:eastAsia="zh-CN"/>
              </w:rPr>
            </w:pPr>
            <w:r>
              <w:rPr>
                <w:rFonts w:hint="eastAsia" w:ascii="宋体" w:cs="Times New Roman"/>
                <w:sz w:val="24"/>
                <w:highlight w:val="none"/>
                <w:lang w:val="en-US" w:eastAsia="zh-CN"/>
              </w:rPr>
              <w:t>10</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b/>
                <w:bCs/>
                <w:sz w:val="24"/>
                <w:highlight w:val="none"/>
              </w:rPr>
            </w:pPr>
            <w:r>
              <w:rPr>
                <w:rFonts w:hint="eastAsia" w:ascii="宋体" w:hAnsi="宋体"/>
                <w:b/>
                <w:bCs/>
                <w:sz w:val="24"/>
                <w:highlight w:val="none"/>
              </w:rPr>
              <w:t>服务期</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default" w:ascii="Times New Roman" w:hAnsi="Times New Roman" w:eastAsia="宋体" w:cs="Times New Roman"/>
                <w:b/>
                <w:bCs/>
                <w:highlight w:val="none"/>
                <w:lang w:val="en-US"/>
              </w:rPr>
            </w:pPr>
            <w:r>
              <w:rPr>
                <w:rFonts w:hint="eastAsia" w:ascii="Times New Roman" w:hAnsi="Times New Roman" w:eastAsia="宋体" w:cs="Times New Roman"/>
                <w:b/>
                <w:bCs/>
                <w:highlight w:val="none"/>
                <w:lang w:val="en-US" w:eastAsia="zh-CN"/>
              </w:rPr>
              <w:t>2020年6月10日前</w:t>
            </w:r>
            <w:r>
              <w:rPr>
                <w:rFonts w:hint="eastAsia" w:cs="Times New Roman"/>
                <w:b/>
                <w:bCs/>
                <w:highlight w:val="none"/>
                <w:lang w:val="en-US" w:eastAsia="zh-CN"/>
              </w:rPr>
              <w:t>完成所有鉴定工作。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sz w:val="24"/>
                <w:highlight w:val="none"/>
                <w:lang w:eastAsia="zh-CN"/>
              </w:rPr>
            </w:pPr>
            <w:r>
              <w:rPr>
                <w:rFonts w:hint="eastAsia" w:ascii="宋体" w:hAnsi="Times New Roman" w:eastAsia="宋体" w:cs="Times New Roman"/>
                <w:sz w:val="24"/>
                <w:highlight w:val="none"/>
              </w:rPr>
              <w:t>1</w:t>
            </w:r>
            <w:r>
              <w:rPr>
                <w:rFonts w:hint="eastAsia" w:ascii="宋体" w:cs="Times New Roman"/>
                <w:sz w:val="24"/>
                <w:highlight w:val="none"/>
                <w:lang w:val="en-US" w:eastAsia="zh-CN"/>
              </w:rPr>
              <w:t>1</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highlight w:val="none"/>
              </w:rPr>
            </w:pPr>
            <w:r>
              <w:rPr>
                <w:rFonts w:hint="eastAsia" w:ascii="宋体" w:hAnsi="宋体" w:eastAsia="宋体" w:cs="Times New Roman"/>
                <w:sz w:val="24"/>
                <w:highlight w:val="none"/>
              </w:rPr>
              <w:t>质量要求</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sz w:val="24"/>
                <w:highlight w:val="none"/>
              </w:rPr>
            </w:pPr>
            <w:r>
              <w:rPr>
                <w:rFonts w:hint="eastAsia" w:ascii="宋体" w:hAnsi="宋体" w:eastAsia="宋体" w:cs="Times New Roman"/>
                <w:sz w:val="24"/>
                <w:highlight w:val="none"/>
              </w:rPr>
              <w:t>达到国家及行业部门规范标准。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sz w:val="24"/>
                <w:highlight w:val="none"/>
                <w:lang w:eastAsia="zh-CN"/>
              </w:rPr>
            </w:pPr>
            <w:r>
              <w:rPr>
                <w:rFonts w:hint="eastAsia" w:ascii="宋体" w:hAnsi="Times New Roman" w:eastAsia="宋体" w:cs="Times New Roman"/>
                <w:sz w:val="24"/>
                <w:highlight w:val="none"/>
              </w:rPr>
              <w:t>1</w:t>
            </w:r>
            <w:r>
              <w:rPr>
                <w:rFonts w:hint="eastAsia" w:ascii="宋体" w:cs="Times New Roman"/>
                <w:sz w:val="24"/>
                <w:highlight w:val="none"/>
                <w:lang w:val="en-US" w:eastAsia="zh-CN"/>
              </w:rPr>
              <w:t>2</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highlight w:val="none"/>
              </w:rPr>
            </w:pPr>
            <w:r>
              <w:rPr>
                <w:rFonts w:hint="eastAsia" w:ascii="宋体" w:hAnsi="宋体" w:eastAsia="宋体" w:cs="Times New Roman"/>
                <w:sz w:val="24"/>
                <w:highlight w:val="none"/>
              </w:rPr>
              <w:t>联合体投标</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sz w:val="24"/>
                <w:highlight w:val="none"/>
              </w:rPr>
            </w:pPr>
            <w:r>
              <w:rPr>
                <w:rFonts w:hint="eastAsia" w:ascii="宋体" w:hAnsi="宋体" w:eastAsia="宋体" w:cs="Times New Roman"/>
                <w:sz w:val="24"/>
                <w:highlight w:val="none"/>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sz w:val="24"/>
                <w:highlight w:val="none"/>
                <w:lang w:eastAsia="zh-CN"/>
              </w:rPr>
            </w:pPr>
            <w:r>
              <w:rPr>
                <w:rFonts w:ascii="宋体" w:hAnsi="宋体" w:eastAsia="宋体" w:cs="Times New Roman"/>
                <w:sz w:val="24"/>
                <w:highlight w:val="none"/>
              </w:rPr>
              <w:t>1</w:t>
            </w:r>
            <w:r>
              <w:rPr>
                <w:rFonts w:hint="eastAsia" w:ascii="宋体" w:hAnsi="宋体" w:cs="Times New Roman"/>
                <w:sz w:val="24"/>
                <w:highlight w:val="none"/>
                <w:lang w:val="en-US" w:eastAsia="zh-CN"/>
              </w:rPr>
              <w:t>3</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highlight w:val="none"/>
              </w:rPr>
            </w:pPr>
            <w:r>
              <w:rPr>
                <w:rFonts w:hint="eastAsia" w:ascii="宋体" w:hAnsi="宋体" w:eastAsia="宋体" w:cs="Times New Roman"/>
                <w:sz w:val="24"/>
                <w:highlight w:val="none"/>
              </w:rPr>
              <w:t>考察现场</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sz w:val="24"/>
                <w:highlight w:val="none"/>
              </w:rPr>
            </w:pPr>
            <w:r>
              <w:rPr>
                <w:rFonts w:hint="eastAsia" w:ascii="宋体" w:hAnsi="Times New Roman" w:eastAsia="宋体" w:cs="Times New Roman"/>
                <w:sz w:val="24"/>
                <w:highlight w:val="none"/>
              </w:rPr>
              <w:t>不组织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7"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sz w:val="24"/>
                <w:highlight w:val="none"/>
                <w:lang w:eastAsia="zh-CN"/>
              </w:rPr>
            </w:pPr>
            <w:r>
              <w:rPr>
                <w:rFonts w:ascii="宋体" w:hAnsi="宋体" w:eastAsia="宋体" w:cs="Times New Roman"/>
                <w:sz w:val="24"/>
                <w:highlight w:val="none"/>
              </w:rPr>
              <w:t>1</w:t>
            </w:r>
            <w:r>
              <w:rPr>
                <w:rFonts w:hint="eastAsia" w:ascii="宋体" w:hAnsi="宋体" w:cs="Times New Roman"/>
                <w:sz w:val="24"/>
                <w:highlight w:val="none"/>
                <w:lang w:val="en-US" w:eastAsia="zh-CN"/>
              </w:rPr>
              <w:t>4</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highlight w:val="none"/>
              </w:rPr>
            </w:pPr>
            <w:r>
              <w:rPr>
                <w:rFonts w:hint="eastAsia" w:ascii="宋体" w:hAnsi="宋体" w:eastAsia="宋体" w:cs="Times New Roman"/>
                <w:sz w:val="24"/>
                <w:highlight w:val="none"/>
              </w:rPr>
              <w:t>投标人对招标文件提出质疑的时间</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sz w:val="24"/>
                <w:highlight w:val="none"/>
              </w:rPr>
            </w:pPr>
            <w:r>
              <w:rPr>
                <w:rFonts w:hint="eastAsia" w:ascii="宋体" w:hAnsi="宋体" w:eastAsia="宋体" w:cs="Times New Roman"/>
                <w:sz w:val="24"/>
                <w:highlight w:val="none"/>
              </w:rPr>
              <w:t>自招标文件发售时间起的10日内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color w:val="auto"/>
                <w:sz w:val="24"/>
                <w:highlight w:val="none"/>
                <w:lang w:eastAsia="zh-CN"/>
              </w:rPr>
            </w:pPr>
            <w:r>
              <w:rPr>
                <w:rFonts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5</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构成招标文件的其他文件</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招标文件的澄清、修改书及有关补充通知为招标文件的有效组成部分</w:t>
            </w:r>
            <w:r>
              <w:rPr>
                <w:rFonts w:hint="eastAsia" w:ascii="宋体" w:hAnsi="宋体" w:eastAsia="宋体" w:cs="Times New Roman"/>
                <w:color w:val="auto"/>
                <w:sz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5"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color w:val="auto"/>
                <w:sz w:val="24"/>
                <w:highlight w:val="none"/>
                <w:lang w:eastAsia="zh-CN"/>
              </w:rPr>
            </w:pPr>
            <w:r>
              <w:rPr>
                <w:rFonts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6</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投标截止时间</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20</w:t>
            </w:r>
            <w:r>
              <w:rPr>
                <w:rFonts w:hint="eastAsia" w:ascii="宋体" w:hAnsi="宋体" w:eastAsia="宋体" w:cs="Times New Roman"/>
                <w:color w:val="auto"/>
                <w:sz w:val="24"/>
                <w:highlight w:val="none"/>
                <w:lang w:val="en-US" w:eastAsia="zh-CN"/>
              </w:rPr>
              <w:t>20年</w:t>
            </w:r>
            <w:r>
              <w:rPr>
                <w:rFonts w:hint="eastAsia" w:ascii="宋体" w:hAnsi="宋体" w:cs="Times New Roman"/>
                <w:color w:val="auto"/>
                <w:sz w:val="24"/>
                <w:highlight w:val="none"/>
                <w:lang w:val="en-US" w:eastAsia="zh-CN"/>
              </w:rPr>
              <w:t>6</w:t>
            </w:r>
            <w:r>
              <w:rPr>
                <w:rFonts w:hint="eastAsia" w:ascii="宋体" w:hAnsi="宋体" w:eastAsia="宋体" w:cs="Times New Roman"/>
                <w:color w:val="auto"/>
                <w:sz w:val="24"/>
                <w:highlight w:val="none"/>
                <w:lang w:val="en-US" w:eastAsia="zh-CN"/>
              </w:rPr>
              <w:t>月</w:t>
            </w:r>
            <w:r>
              <w:rPr>
                <w:rFonts w:hint="eastAsia" w:ascii="宋体" w:hAnsi="宋体" w:cs="Times New Roman"/>
                <w:color w:val="auto"/>
                <w:sz w:val="24"/>
                <w:highlight w:val="none"/>
                <w:lang w:val="en-US" w:eastAsia="zh-CN"/>
              </w:rPr>
              <w:t>03</w:t>
            </w:r>
            <w:r>
              <w:rPr>
                <w:rFonts w:hint="eastAsia" w:ascii="宋体" w:hAnsi="宋体" w:eastAsia="宋体" w:cs="Times New Roman"/>
                <w:color w:val="auto"/>
                <w:sz w:val="24"/>
                <w:highlight w:val="none"/>
                <w:lang w:val="en-US" w:eastAsia="zh-CN"/>
              </w:rPr>
              <w:t>日</w:t>
            </w:r>
            <w:r>
              <w:rPr>
                <w:rFonts w:hint="eastAsia" w:ascii="宋体" w:hAnsi="宋体" w:eastAsia="宋体" w:cs="Times New Roman"/>
                <w:color w:val="auto"/>
                <w:sz w:val="24"/>
                <w:highlight w:val="none"/>
              </w:rPr>
              <w:t>1</w:t>
            </w:r>
            <w:r>
              <w:rPr>
                <w:rFonts w:hint="eastAsia" w:ascii="宋体" w:hAnsi="宋体" w:eastAsia="宋体" w:cs="Times New Roman"/>
                <w:color w:val="auto"/>
                <w:sz w:val="24"/>
                <w:highlight w:val="none"/>
                <w:lang w:val="en-US" w:eastAsia="zh-CN"/>
              </w:rPr>
              <w:t>0</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3</w:t>
            </w:r>
            <w:r>
              <w:rPr>
                <w:rFonts w:hint="eastAsia" w:ascii="宋体" w:hAnsi="宋体" w:eastAsia="宋体" w:cs="Times New Roman"/>
                <w:color w:val="auto"/>
                <w:sz w:val="24"/>
                <w:highlight w:val="none"/>
              </w:rPr>
              <w:t>0:00（北京时间）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83"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color w:val="auto"/>
                <w:sz w:val="24"/>
                <w:highlight w:val="none"/>
                <w:lang w:eastAsia="zh-CN"/>
              </w:rPr>
            </w:pPr>
            <w:r>
              <w:rPr>
                <w:rFonts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7</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投标</w:t>
            </w:r>
            <w:r>
              <w:rPr>
                <w:rFonts w:hint="eastAsia" w:ascii="宋体" w:hAnsi="Times New Roman" w:eastAsia="宋体" w:cs="Times New Roman"/>
                <w:bCs/>
                <w:color w:val="auto"/>
                <w:sz w:val="24"/>
                <w:highlight w:val="none"/>
              </w:rPr>
              <w:t>有效期</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rPr>
            </w:pPr>
            <w:r>
              <w:rPr>
                <w:rFonts w:hint="eastAsia" w:ascii="宋体" w:hAnsi="宋体" w:cs="Times New Roman"/>
                <w:color w:val="auto"/>
                <w:sz w:val="24"/>
                <w:highlight w:val="none"/>
                <w:lang w:val="en-US" w:eastAsia="zh-CN"/>
              </w:rPr>
              <w:t>60</w:t>
            </w:r>
            <w:r>
              <w:rPr>
                <w:rFonts w:hint="eastAsia" w:ascii="宋体" w:hAnsi="宋体" w:eastAsia="宋体" w:cs="Times New Roman"/>
                <w:color w:val="auto"/>
                <w:sz w:val="24"/>
                <w:highlight w:val="none"/>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57"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color w:val="auto"/>
                <w:sz w:val="24"/>
                <w:highlight w:val="none"/>
                <w:lang w:eastAsia="zh-CN"/>
              </w:rPr>
            </w:pPr>
            <w:r>
              <w:rPr>
                <w:rFonts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8</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default" w:ascii="宋体" w:hAnsi="Times New Roman" w:eastAsia="宋体" w:cs="Times New Roman"/>
                <w:color w:val="auto"/>
                <w:sz w:val="24"/>
                <w:highlight w:val="none"/>
                <w:lang w:val="en-US" w:eastAsia="zh-CN"/>
              </w:rPr>
            </w:pPr>
            <w:r>
              <w:rPr>
                <w:rFonts w:hint="eastAsia" w:ascii="宋体" w:cs="Times New Roman"/>
                <w:color w:val="auto"/>
                <w:sz w:val="24"/>
                <w:highlight w:val="none"/>
                <w:lang w:val="en-US" w:eastAsia="zh-CN"/>
              </w:rPr>
              <w:t>投标保证金</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Times New Roman" w:eastAsia="宋体" w:cs="Times New Roman"/>
                <w:bCs/>
                <w:color w:val="auto"/>
                <w:sz w:val="24"/>
                <w:highlight w:val="none"/>
                <w:lang w:eastAsia="zh-CN"/>
              </w:rPr>
            </w:pPr>
            <w:r>
              <w:rPr>
                <w:rFonts w:hint="eastAsia" w:ascii="宋体" w:hAnsi="Times New Roman" w:eastAsia="宋体" w:cs="Times New Roman"/>
                <w:bCs/>
                <w:color w:val="auto"/>
                <w:sz w:val="24"/>
                <w:highlight w:val="none"/>
              </w:rPr>
              <w:t>投标保证金的形式：转账、</w:t>
            </w:r>
            <w:r>
              <w:rPr>
                <w:rFonts w:hint="eastAsia" w:ascii="宋体" w:cs="Times New Roman"/>
                <w:bCs/>
                <w:color w:val="auto"/>
                <w:sz w:val="24"/>
                <w:highlight w:val="none"/>
                <w:lang w:val="en-US" w:eastAsia="zh-CN"/>
              </w:rPr>
              <w:t>电汇</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default" w:ascii="宋体" w:hAnsi="Times New Roman" w:eastAsia="宋体" w:cs="Times New Roman"/>
                <w:bCs/>
                <w:color w:val="auto"/>
                <w:sz w:val="24"/>
                <w:highlight w:val="none"/>
                <w:lang w:val="en-US" w:eastAsia="zh-CN"/>
              </w:rPr>
            </w:pPr>
            <w:r>
              <w:rPr>
                <w:rFonts w:hint="eastAsia" w:ascii="宋体" w:hAnsi="Times New Roman" w:eastAsia="宋体" w:cs="Times New Roman"/>
                <w:bCs/>
                <w:color w:val="auto"/>
                <w:sz w:val="24"/>
                <w:highlight w:val="none"/>
              </w:rPr>
              <w:t>投标保证金的金额：</w:t>
            </w:r>
            <w:r>
              <w:rPr>
                <w:rFonts w:hint="eastAsia" w:ascii="宋体" w:cs="Times New Roman"/>
                <w:bCs/>
                <w:color w:val="auto"/>
                <w:sz w:val="24"/>
                <w:highlight w:val="none"/>
                <w:lang w:val="en-US" w:eastAsia="zh-CN"/>
              </w:rPr>
              <w:t>53000.00元   大写：伍万叁仟元整</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Times New Roman" w:eastAsia="宋体" w:cs="Times New Roman"/>
                <w:bCs/>
                <w:color w:val="auto"/>
                <w:sz w:val="24"/>
                <w:highlight w:val="none"/>
              </w:rPr>
            </w:pPr>
            <w:r>
              <w:rPr>
                <w:rFonts w:hint="eastAsia" w:ascii="宋体" w:hAnsi="Times New Roman" w:eastAsia="宋体" w:cs="Times New Roman"/>
                <w:bCs/>
                <w:color w:val="auto"/>
                <w:sz w:val="24"/>
                <w:highlight w:val="none"/>
              </w:rPr>
              <w:t>投标保证金缴纳账户：</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Times New Roman" w:eastAsia="宋体" w:cs="Times New Roman"/>
                <w:bCs/>
                <w:color w:val="auto"/>
                <w:sz w:val="24"/>
                <w:highlight w:val="none"/>
                <w:lang w:val="en-US" w:eastAsia="zh-CN"/>
              </w:rPr>
            </w:pPr>
            <w:r>
              <w:rPr>
                <w:rFonts w:hint="eastAsia" w:ascii="宋体" w:hAnsi="Times New Roman" w:eastAsia="宋体" w:cs="Times New Roman"/>
                <w:bCs/>
                <w:color w:val="auto"/>
                <w:sz w:val="24"/>
                <w:highlight w:val="none"/>
                <w:lang w:val="en-US" w:eastAsia="zh-CN"/>
              </w:rPr>
              <w:t xml:space="preserve">开户银行：中国银行新疆和田乌鲁木齐北路支行 </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Times New Roman" w:eastAsia="宋体" w:cs="Times New Roman"/>
                <w:bCs/>
                <w:color w:val="auto"/>
                <w:sz w:val="24"/>
                <w:highlight w:val="none"/>
                <w:lang w:val="en-US" w:eastAsia="zh-CN"/>
              </w:rPr>
            </w:pPr>
            <w:r>
              <w:rPr>
                <w:rFonts w:hint="eastAsia" w:ascii="宋体" w:hAnsi="Times New Roman" w:eastAsia="宋体" w:cs="Times New Roman"/>
                <w:bCs/>
                <w:color w:val="auto"/>
                <w:sz w:val="24"/>
                <w:highlight w:val="none"/>
                <w:lang w:val="en-US" w:eastAsia="zh-CN"/>
              </w:rPr>
              <w:t>户名：和田市人民政府采购中心</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Times New Roman" w:eastAsia="宋体" w:cs="Times New Roman"/>
                <w:bCs/>
                <w:color w:val="auto"/>
                <w:sz w:val="24"/>
                <w:highlight w:val="none"/>
                <w:lang w:val="en-US" w:eastAsia="zh-CN"/>
              </w:rPr>
            </w:pPr>
            <w:r>
              <w:rPr>
                <w:rFonts w:hint="eastAsia" w:ascii="宋体" w:hAnsi="Times New Roman" w:eastAsia="宋体" w:cs="Times New Roman"/>
                <w:bCs/>
                <w:color w:val="auto"/>
                <w:sz w:val="24"/>
                <w:highlight w:val="none"/>
                <w:lang w:val="en-US" w:eastAsia="zh-CN"/>
              </w:rPr>
              <w:t xml:space="preserve">银行账号：107031722125 </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lang w:val="en-US" w:eastAsia="zh-CN"/>
              </w:rPr>
              <w:t>注：必须采用银行转账或电汇的方式，由报名单位基本账户</w:t>
            </w:r>
            <w:r>
              <w:rPr>
                <w:rFonts w:hint="eastAsia" w:ascii="宋体" w:cs="Times New Roman"/>
                <w:b/>
                <w:color w:val="auto"/>
                <w:sz w:val="24"/>
                <w:highlight w:val="none"/>
                <w:lang w:val="en-US" w:eastAsia="zh-CN"/>
              </w:rPr>
              <w:t>于2020年6月02日19：30（北京时间）前</w:t>
            </w:r>
            <w:r>
              <w:rPr>
                <w:rFonts w:hint="eastAsia" w:ascii="宋体" w:hAnsi="Times New Roman" w:eastAsia="宋体" w:cs="Times New Roman"/>
                <w:b/>
                <w:color w:val="auto"/>
                <w:sz w:val="24"/>
                <w:highlight w:val="none"/>
                <w:lang w:val="en-US" w:eastAsia="zh-CN"/>
              </w:rPr>
              <w:t>汇至和田市人民政府采购中心专用账户，不得以现金和其他形式缴纳，不得以分公司、办事处或其他机构的名义缴纳，报名单位在缴纳保证金时，需在进账凭证上明确资金用途、项目名称 ，以便查对核实。投标保证金缴纳截止时间为递交投标文件截止时间，无须到和田市公共资源交易中心换取收据。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3"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color w:val="auto"/>
                <w:sz w:val="24"/>
                <w:highlight w:val="none"/>
                <w:lang w:eastAsia="zh-CN"/>
              </w:rPr>
            </w:pPr>
            <w:r>
              <w:rPr>
                <w:rFonts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9</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480" w:firstLineChars="200"/>
              <w:jc w:val="left"/>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sz w:val="24"/>
                <w:highlight w:val="none"/>
              </w:rPr>
              <w:t>签字盖章</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sz w:val="24"/>
                <w:highlight w:val="none"/>
              </w:rPr>
              <w:t>投标人必须按照招标文件的规定和要求签字、盖章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20</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投标文件份数</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eastAsia="zh-CN"/>
              </w:rPr>
            </w:pPr>
            <w:r>
              <w:rPr>
                <w:rFonts w:hint="eastAsia" w:ascii="宋体" w:hAnsi="宋体"/>
                <w:sz w:val="24"/>
                <w:highlight w:val="none"/>
              </w:rPr>
              <w:t>投标文件的数目：正本壹份、副本</w:t>
            </w:r>
            <w:r>
              <w:rPr>
                <w:rFonts w:hint="eastAsia" w:ascii="宋体" w:hAnsi="宋体"/>
                <w:sz w:val="24"/>
                <w:highlight w:val="none"/>
                <w:lang w:val="en-US" w:eastAsia="zh-CN"/>
              </w:rPr>
              <w:t>肆</w:t>
            </w:r>
            <w:r>
              <w:rPr>
                <w:rFonts w:hint="eastAsia" w:ascii="宋体" w:hAnsi="宋体"/>
                <w:sz w:val="24"/>
                <w:highlight w:val="none"/>
              </w:rPr>
              <w:t>份，开标一览表壹份、电子版投标文件壹份且各自单独密封；电子版投标文件的格式为：文件采用WORD文档。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21</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120" w:leftChars="0" w:right="62" w:rightChars="0" w:hanging="120" w:hangingChars="50"/>
              <w:jc w:val="center"/>
              <w:textAlignment w:val="auto"/>
              <w:rPr>
                <w:rFonts w:ascii="宋体" w:hAnsi="Times New Roman" w:eastAsia="宋体" w:cs="Times New Roman"/>
                <w:color w:val="auto"/>
                <w:kern w:val="2"/>
                <w:sz w:val="24"/>
                <w:szCs w:val="24"/>
                <w:highlight w:val="none"/>
                <w:lang w:val="en-US" w:eastAsia="zh-CN" w:bidi="ar-SA"/>
              </w:rPr>
            </w:pPr>
            <w:r>
              <w:rPr>
                <w:rFonts w:hint="eastAsia" w:ascii="宋体" w:hAnsi="宋体"/>
                <w:sz w:val="24"/>
                <w:highlight w:val="none"/>
              </w:rPr>
              <w:t>投标文件的装订</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120" w:leftChars="0" w:right="62" w:rightChars="0" w:hanging="120" w:hangingChars="50"/>
              <w:jc w:val="both"/>
              <w:textAlignment w:val="auto"/>
              <w:rPr>
                <w:rFonts w:hint="eastAsia" w:ascii="宋体" w:hAnsi="Times New Roman" w:eastAsia="宋体" w:cs="Times New Roman"/>
                <w:bCs/>
                <w:color w:val="auto"/>
                <w:kern w:val="2"/>
                <w:sz w:val="24"/>
                <w:szCs w:val="24"/>
                <w:highlight w:val="none"/>
                <w:lang w:val="en-US" w:eastAsia="zh-CN" w:bidi="ar-SA"/>
              </w:rPr>
            </w:pPr>
            <w:r>
              <w:rPr>
                <w:rFonts w:hint="eastAsia" w:ascii="宋体" w:hAnsi="宋体" w:eastAsia="宋体" w:cs="Times New Roman"/>
                <w:sz w:val="24"/>
                <w:highlight w:val="none"/>
              </w:rPr>
              <w:t>正本、副本分别装订。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3"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ascii="宋体" w:hAnsi="宋体" w:eastAsia="宋体" w:cs="Times New Roman"/>
                <w:color w:val="auto"/>
                <w:sz w:val="24"/>
                <w:highlight w:val="none"/>
              </w:rPr>
              <w:t>2</w:t>
            </w:r>
            <w:r>
              <w:rPr>
                <w:rFonts w:hint="eastAsia" w:ascii="宋体" w:hAnsi="宋体" w:eastAsia="宋体" w:cs="Times New Roman"/>
                <w:color w:val="auto"/>
                <w:sz w:val="24"/>
                <w:highlight w:val="none"/>
              </w:rPr>
              <w:t>2</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120" w:leftChars="0" w:right="62" w:rightChars="0" w:hanging="120" w:hangingChars="50"/>
              <w:jc w:val="center"/>
              <w:textAlignment w:val="auto"/>
              <w:rPr>
                <w:rFonts w:ascii="宋体" w:hAnsi="Times New Roman" w:eastAsia="宋体" w:cs="Times New Roman"/>
                <w:color w:val="auto"/>
                <w:sz w:val="24"/>
                <w:highlight w:val="none"/>
              </w:rPr>
            </w:pPr>
            <w:r>
              <w:rPr>
                <w:rFonts w:hint="eastAsia" w:ascii="宋体" w:hAnsi="宋体"/>
                <w:sz w:val="24"/>
                <w:highlight w:val="none"/>
              </w:rPr>
              <w:t>投标文件封面的标注</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ascii="宋体" w:hAnsi="Times New Roman" w:eastAsia="宋体" w:cs="Times New Roman"/>
                <w:bCs/>
                <w:color w:val="auto"/>
                <w:sz w:val="24"/>
                <w:highlight w:val="none"/>
              </w:rPr>
            </w:pPr>
            <w:r>
              <w:rPr>
                <w:rFonts w:hint="eastAsia" w:ascii="宋体" w:hAnsi="宋体" w:eastAsia="宋体" w:cs="Times New Roman"/>
                <w:sz w:val="24"/>
                <w:highlight w:val="none"/>
              </w:rPr>
              <w:t>投标文件正本和副本的封面上均应标明：投标项目名称、项目编号、分包号（如有分包）、投标人名称、年月日；并分别在右上角标“正本”和“副本”字样，并加盖单位公章。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3"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ascii="宋体" w:hAnsi="宋体" w:eastAsia="宋体" w:cs="Times New Roman"/>
                <w:color w:val="auto"/>
                <w:sz w:val="24"/>
                <w:highlight w:val="none"/>
              </w:rPr>
              <w:t>2</w:t>
            </w:r>
            <w:r>
              <w:rPr>
                <w:rFonts w:hint="eastAsia" w:ascii="宋体" w:hAnsi="宋体" w:eastAsia="宋体" w:cs="Times New Roman"/>
                <w:color w:val="auto"/>
                <w:sz w:val="24"/>
                <w:highlight w:val="none"/>
              </w:rPr>
              <w:t>3</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120" w:leftChars="0" w:right="62" w:rightChars="0" w:hanging="120" w:hangingChars="50"/>
              <w:jc w:val="center"/>
              <w:textAlignment w:val="auto"/>
              <w:rPr>
                <w:rFonts w:ascii="宋体" w:hAnsi="Times New Roman" w:eastAsia="宋体" w:cs="Times New Roman"/>
                <w:color w:val="auto"/>
                <w:sz w:val="24"/>
                <w:highlight w:val="none"/>
              </w:rPr>
            </w:pPr>
            <w:r>
              <w:rPr>
                <w:rFonts w:hint="eastAsia" w:ascii="宋体" w:hAnsi="宋体"/>
                <w:sz w:val="24"/>
                <w:highlight w:val="none"/>
              </w:rPr>
              <w:t>投标文件外层密封袋的标注</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Times New Roman"/>
                <w:sz w:val="24"/>
                <w:highlight w:val="none"/>
              </w:rPr>
            </w:pPr>
            <w:r>
              <w:rPr>
                <w:rFonts w:hint="eastAsia" w:ascii="宋体" w:hAnsi="宋体" w:eastAsia="宋体" w:cs="Times New Roman"/>
                <w:sz w:val="24"/>
                <w:highlight w:val="none"/>
              </w:rPr>
              <w:t>招标项目名称</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招标编号、分包号（如有分包）、投标人名称</w:t>
            </w:r>
          </w:p>
          <w:p>
            <w:pPr>
              <w:keepNext w:val="0"/>
              <w:keepLines w:val="0"/>
              <w:pageBreakBefore w:val="0"/>
              <w:kinsoku/>
              <w:wordWrap/>
              <w:overflowPunct/>
              <w:topLinePunct w:val="0"/>
              <w:autoSpaceDE/>
              <w:autoSpaceDN/>
              <w:bidi w:val="0"/>
              <w:adjustRightInd/>
              <w:snapToGrid/>
              <w:spacing w:line="300" w:lineRule="exact"/>
              <w:ind w:left="120" w:leftChars="0" w:right="62" w:rightChars="0" w:hanging="120" w:hangingChars="50"/>
              <w:jc w:val="both"/>
              <w:textAlignment w:val="auto"/>
              <w:rPr>
                <w:rFonts w:hint="eastAsia" w:ascii="宋体" w:hAnsi="宋体" w:eastAsia="宋体" w:cs="Times New Roman"/>
                <w:color w:val="auto"/>
                <w:sz w:val="24"/>
                <w:highlight w:val="none"/>
              </w:rPr>
            </w:pPr>
            <w:r>
              <w:rPr>
                <w:rFonts w:hint="eastAsia" w:ascii="宋体" w:hAnsi="宋体" w:eastAsia="宋体" w:cs="Times New Roman"/>
                <w:sz w:val="24"/>
                <w:highlight w:val="none"/>
              </w:rPr>
              <w:t>年、月、日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ascii="宋体" w:hAnsi="宋体" w:eastAsia="宋体" w:cs="Times New Roman"/>
                <w:color w:val="auto"/>
                <w:sz w:val="24"/>
                <w:highlight w:val="none"/>
              </w:rPr>
              <w:t>2</w:t>
            </w:r>
            <w:r>
              <w:rPr>
                <w:rFonts w:hint="eastAsia" w:ascii="宋体" w:hAnsi="宋体" w:eastAsia="宋体" w:cs="Times New Roman"/>
                <w:color w:val="auto"/>
                <w:sz w:val="24"/>
                <w:highlight w:val="none"/>
              </w:rPr>
              <w:t>4</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sz w:val="24"/>
                <w:highlight w:val="none"/>
              </w:rPr>
              <w:t>递交投标文件的地点</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和田市公共资源交易中心开标二厅（和田市北京工业园区滨河路10号三桥桥头处）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ascii="宋体" w:hAnsi="宋体" w:eastAsia="宋体" w:cs="Times New Roman"/>
                <w:color w:val="auto"/>
                <w:sz w:val="24"/>
                <w:highlight w:val="none"/>
              </w:rPr>
              <w:t>2</w:t>
            </w:r>
            <w:r>
              <w:rPr>
                <w:rFonts w:hint="eastAsia" w:ascii="宋体" w:hAnsi="宋体" w:eastAsia="宋体" w:cs="Times New Roman"/>
                <w:color w:val="auto"/>
                <w:sz w:val="24"/>
                <w:highlight w:val="none"/>
              </w:rPr>
              <w:t>5</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评标委员的组建</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评标委员会构成：</w:t>
            </w:r>
            <w:r>
              <w:rPr>
                <w:rFonts w:hint="eastAsia" w:ascii="宋体" w:hAnsi="宋体" w:eastAsia="宋体" w:cs="Times New Roman"/>
                <w:color w:val="auto"/>
                <w:sz w:val="24"/>
                <w:highlight w:val="none"/>
                <w:lang w:val="en-US" w:eastAsia="zh-CN"/>
              </w:rPr>
              <w:t>5</w:t>
            </w:r>
            <w:r>
              <w:rPr>
                <w:rFonts w:hint="eastAsia" w:ascii="宋体" w:hAnsi="宋体" w:eastAsia="宋体" w:cs="Times New Roman"/>
                <w:color w:val="auto"/>
                <w:sz w:val="24"/>
                <w:highlight w:val="none"/>
              </w:rPr>
              <w:t>人，其中招标人代表</w:t>
            </w:r>
            <w:r>
              <w:rPr>
                <w:rFonts w:hint="eastAsia" w:ascii="宋体" w:hAnsi="宋体" w:eastAsia="宋体" w:cs="Times New Roman"/>
                <w:color w:val="auto"/>
                <w:sz w:val="24"/>
                <w:highlight w:val="none"/>
                <w:lang w:val="en-US" w:eastAsia="zh-CN"/>
              </w:rPr>
              <w:t>1</w:t>
            </w:r>
            <w:r>
              <w:rPr>
                <w:rFonts w:hint="eastAsia" w:ascii="宋体" w:hAnsi="宋体" w:eastAsia="宋体" w:cs="Times New Roman"/>
                <w:color w:val="auto"/>
                <w:sz w:val="24"/>
                <w:highlight w:val="none"/>
              </w:rPr>
              <w:t>人，专家</w:t>
            </w:r>
            <w:r>
              <w:rPr>
                <w:rFonts w:hint="eastAsia" w:ascii="宋体" w:hAnsi="宋体" w:eastAsia="宋体" w:cs="Times New Roman"/>
                <w:color w:val="auto"/>
                <w:sz w:val="24"/>
                <w:highlight w:val="none"/>
                <w:lang w:val="en-US" w:eastAsia="zh-CN"/>
              </w:rPr>
              <w:t>4</w:t>
            </w:r>
            <w:r>
              <w:rPr>
                <w:rFonts w:hint="eastAsia" w:ascii="宋体" w:hAnsi="宋体" w:eastAsia="宋体" w:cs="Times New Roman"/>
                <w:color w:val="auto"/>
                <w:sz w:val="24"/>
                <w:highlight w:val="none"/>
              </w:rPr>
              <w:t>人；</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评标专家确定方式：由招标代理在开标前72小时在新疆政府采购专家库中随机抽取此次评标专家</w:t>
            </w:r>
            <w:r>
              <w:rPr>
                <w:rFonts w:hint="eastAsia" w:ascii="宋体" w:hAnsi="宋体" w:eastAsia="宋体" w:cs="Times New Roman"/>
                <w:color w:val="auto"/>
                <w:sz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ascii="宋体" w:hAnsi="宋体" w:eastAsia="宋体" w:cs="Times New Roman"/>
                <w:color w:val="auto"/>
                <w:sz w:val="24"/>
                <w:highlight w:val="none"/>
              </w:rPr>
              <w:t>2</w:t>
            </w:r>
            <w:r>
              <w:rPr>
                <w:rFonts w:hint="eastAsia" w:ascii="宋体" w:hAnsi="宋体" w:eastAsia="宋体" w:cs="Times New Roman"/>
                <w:color w:val="auto"/>
                <w:sz w:val="24"/>
                <w:highlight w:val="none"/>
              </w:rPr>
              <w:t>6</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开标时间和地点</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开标时间：20</w:t>
            </w:r>
            <w:r>
              <w:rPr>
                <w:rFonts w:hint="eastAsia" w:ascii="宋体" w:hAnsi="宋体" w:eastAsia="宋体" w:cs="Times New Roman"/>
                <w:color w:val="auto"/>
                <w:sz w:val="24"/>
                <w:highlight w:val="none"/>
                <w:lang w:val="en-US" w:eastAsia="zh-CN"/>
              </w:rPr>
              <w:t>20年</w:t>
            </w:r>
            <w:r>
              <w:rPr>
                <w:rFonts w:hint="eastAsia" w:ascii="宋体" w:hAnsi="宋体" w:cs="Times New Roman"/>
                <w:color w:val="auto"/>
                <w:sz w:val="24"/>
                <w:highlight w:val="none"/>
                <w:lang w:val="en-US" w:eastAsia="zh-CN"/>
              </w:rPr>
              <w:t>6</w:t>
            </w:r>
            <w:r>
              <w:rPr>
                <w:rFonts w:hint="eastAsia" w:ascii="宋体" w:hAnsi="宋体" w:eastAsia="宋体" w:cs="Times New Roman"/>
                <w:color w:val="auto"/>
                <w:sz w:val="24"/>
                <w:highlight w:val="none"/>
                <w:lang w:val="en-US" w:eastAsia="zh-CN"/>
              </w:rPr>
              <w:t>月</w:t>
            </w:r>
            <w:r>
              <w:rPr>
                <w:rFonts w:hint="eastAsia" w:ascii="宋体" w:hAnsi="宋体" w:cs="Times New Roman"/>
                <w:color w:val="auto"/>
                <w:sz w:val="24"/>
                <w:highlight w:val="none"/>
                <w:lang w:val="en-US" w:eastAsia="zh-CN"/>
              </w:rPr>
              <w:t>03</w:t>
            </w:r>
            <w:bookmarkStart w:id="52" w:name="_GoBack"/>
            <w:bookmarkEnd w:id="52"/>
            <w:r>
              <w:rPr>
                <w:rFonts w:hint="eastAsia" w:ascii="宋体" w:hAnsi="宋体" w:eastAsia="宋体" w:cs="Times New Roman"/>
                <w:color w:val="auto"/>
                <w:sz w:val="24"/>
                <w:highlight w:val="none"/>
                <w:lang w:val="en-US" w:eastAsia="zh-CN"/>
              </w:rPr>
              <w:t>日</w:t>
            </w:r>
            <w:r>
              <w:rPr>
                <w:rFonts w:hint="eastAsia"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0</w:t>
            </w:r>
            <w:r>
              <w:rPr>
                <w:rFonts w:hint="eastAsia" w:ascii="宋体" w:hAnsi="宋体" w:eastAsia="宋体" w:cs="Times New Roman"/>
                <w:color w:val="auto"/>
                <w:sz w:val="24"/>
                <w:highlight w:val="none"/>
              </w:rPr>
              <w:t>:</w:t>
            </w:r>
            <w:r>
              <w:rPr>
                <w:rFonts w:hint="eastAsia" w:ascii="宋体" w:hAnsi="宋体" w:cs="Times New Roman"/>
                <w:color w:val="auto"/>
                <w:sz w:val="24"/>
                <w:highlight w:val="none"/>
                <w:lang w:val="en-US" w:eastAsia="zh-CN"/>
              </w:rPr>
              <w:t>3</w:t>
            </w:r>
            <w:r>
              <w:rPr>
                <w:rFonts w:hint="eastAsia" w:ascii="宋体" w:hAnsi="宋体" w:eastAsia="宋体" w:cs="Times New Roman"/>
                <w:color w:val="auto"/>
                <w:sz w:val="24"/>
                <w:highlight w:val="none"/>
              </w:rPr>
              <w:t>0:00（北京时间）</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开标地点：</w:t>
            </w:r>
            <w:r>
              <w:rPr>
                <w:rFonts w:hint="eastAsia" w:ascii="宋体" w:hAnsi="宋体" w:cs="Times New Roman"/>
                <w:color w:val="auto"/>
                <w:sz w:val="24"/>
                <w:highlight w:val="none"/>
                <w:lang w:eastAsia="zh-CN"/>
              </w:rPr>
              <w:t>和田市公共资源交易中心开标二厅（和田市北京工业园区滨河路10号三桥桥头处）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6" w:hRule="atLeast"/>
          <w:jc w:val="center"/>
        </w:trPr>
        <w:tc>
          <w:tcPr>
            <w:tcW w:w="701"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2</w:t>
            </w:r>
            <w:r>
              <w:rPr>
                <w:rFonts w:hint="eastAsia" w:ascii="宋体" w:hAnsi="宋体" w:cs="Times New Roman"/>
                <w:color w:val="auto"/>
                <w:sz w:val="24"/>
                <w:highlight w:val="none"/>
                <w:lang w:val="en-US" w:eastAsia="zh-CN"/>
              </w:rPr>
              <w:t>7</w:t>
            </w:r>
          </w:p>
        </w:tc>
        <w:tc>
          <w:tcPr>
            <w:tcW w:w="2040" w:type="dxa"/>
            <w:tcBorders>
              <w:top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宋体" w:eastAsia="宋体" w:cs="Times New Roman"/>
                <w:color w:val="auto"/>
                <w:sz w:val="24"/>
                <w:highlight w:val="none"/>
              </w:rPr>
            </w:pPr>
            <w:r>
              <w:rPr>
                <w:rFonts w:hint="eastAsia" w:ascii="宋体" w:hAnsi="宋体" w:eastAsia="宋体" w:cs="Times New Roman"/>
                <w:color w:val="auto"/>
                <w:sz w:val="24"/>
                <w:highlight w:val="none"/>
              </w:rPr>
              <w:t>履约保证金</w:t>
            </w:r>
          </w:p>
        </w:tc>
        <w:tc>
          <w:tcPr>
            <w:tcW w:w="6814" w:type="dxa"/>
            <w:tcBorders>
              <w:top w:val="single" w:color="auto" w:sz="4" w:space="0"/>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宋体" w:eastAsia="宋体" w:cs="Times New Roman"/>
                <w:bCs/>
                <w:color w:val="auto"/>
                <w:sz w:val="24"/>
                <w:highlight w:val="none"/>
              </w:rPr>
            </w:pPr>
            <w:r>
              <w:rPr>
                <w:rFonts w:hint="eastAsia" w:ascii="宋体" w:hAnsi="宋体" w:eastAsia="宋体" w:cs="Times New Roman"/>
                <w:color w:val="auto"/>
                <w:sz w:val="24"/>
                <w:highlight w:val="none"/>
              </w:rPr>
              <w:t>合同签订前缴纳中标价的10%履约保证金。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6" w:hRule="atLeast"/>
          <w:jc w:val="center"/>
        </w:trPr>
        <w:tc>
          <w:tcPr>
            <w:tcW w:w="701"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default"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28</w:t>
            </w:r>
          </w:p>
        </w:tc>
        <w:tc>
          <w:tcPr>
            <w:tcW w:w="2040" w:type="dxa"/>
            <w:tcBorders>
              <w:top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采购项目需要落实的政府采购政策</w:t>
            </w:r>
          </w:p>
        </w:tc>
        <w:tc>
          <w:tcPr>
            <w:tcW w:w="6814" w:type="dxa"/>
            <w:tcBorders>
              <w:top w:val="single" w:color="auto" w:sz="4" w:space="0"/>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根据中华人民共和国财政部、中华人民共和国工业和信息化部《政府采购促进中小企业发展暂行办法》（财库[2011]181 号）文件的规定，属于中小企业评审优惠内容及幅度如下：</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对于非专门面向中小企业的项目，对小型和微型企业（或联合体各方均为小型、微型企业的）产品的价格给予6%的扣除，用扣除后的价格参与价格分的评审。</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小型和微型企业适用价格扣除办法时应提供的相关资料：①、《中小企业声明函》；②、提供投标人工商行政登记所在地管理部门出具的小微企业证明文件；③、小微企业的认定由评标委员会根据投标人提供的资料进行认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3"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default" w:ascii="宋体" w:hAnsi="Times New Roman"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28</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其他说明</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0000FF"/>
                <w:sz w:val="24"/>
                <w:highlight w:val="none"/>
              </w:rPr>
            </w:pPr>
            <w:r>
              <w:rPr>
                <w:rFonts w:hint="eastAsia" w:ascii="宋体" w:hAnsi="宋体" w:eastAsia="宋体" w:cs="Times New Roman"/>
                <w:color w:val="0000FF"/>
                <w:sz w:val="24"/>
                <w:highlight w:val="none"/>
              </w:rPr>
              <w:t>特别提醒：</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both"/>
              <w:textAlignment w:val="auto"/>
              <w:rPr>
                <w:rFonts w:hint="eastAsia" w:ascii="宋体" w:hAnsi="宋体" w:eastAsia="宋体" w:cs="Times New Roman"/>
                <w:color w:val="0000FF"/>
                <w:sz w:val="24"/>
                <w:highlight w:val="none"/>
              </w:rPr>
            </w:pPr>
            <w:r>
              <w:rPr>
                <w:rFonts w:hint="eastAsia" w:ascii="宋体" w:hAnsi="宋体" w:eastAsia="宋体" w:cs="Times New Roman"/>
                <w:color w:val="0000FF"/>
                <w:sz w:val="24"/>
                <w:highlight w:val="none"/>
              </w:rPr>
              <w:t>1、所有投标人的报价高于采购预算额度视为无效报价（即作否决投标处理）。</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both"/>
              <w:textAlignment w:val="auto"/>
              <w:rPr>
                <w:rFonts w:hint="eastAsia" w:ascii="宋体" w:hAnsi="宋体" w:eastAsia="宋体" w:cs="Times New Roman"/>
                <w:color w:val="0000FF"/>
                <w:sz w:val="24"/>
                <w:highlight w:val="none"/>
              </w:rPr>
            </w:pPr>
            <w:r>
              <w:rPr>
                <w:rFonts w:hint="eastAsia" w:ascii="宋体" w:hAnsi="宋体" w:eastAsia="宋体" w:cs="Times New Roman"/>
                <w:color w:val="0000FF"/>
                <w:sz w:val="24"/>
                <w:highlight w:val="none"/>
              </w:rPr>
              <w:t>2、所有投标人的报价明显低于其他投标报价或者在设有标底时明显低于标底，使得其投标报价可能低于其个别成本的，应当要求该投标人作出书面说明并提供相应证明材料。投标人不能合理或者不能提供相应证明材料的，由评标委员会认定该投标人以低于成本报价竞标</w:t>
            </w:r>
            <w:r>
              <w:rPr>
                <w:rFonts w:hint="eastAsia" w:ascii="宋体" w:hAnsi="宋体" w:eastAsia="宋体" w:cs="Times New Roman"/>
                <w:color w:val="0000FF"/>
                <w:sz w:val="24"/>
                <w:highlight w:val="none"/>
                <w:lang w:eastAsia="zh-CN"/>
              </w:rPr>
              <w:t>，</w:t>
            </w:r>
            <w:r>
              <w:rPr>
                <w:rFonts w:hint="eastAsia" w:ascii="宋体" w:hAnsi="宋体" w:eastAsia="宋体" w:cs="Times New Roman"/>
                <w:color w:val="0000FF"/>
                <w:sz w:val="24"/>
                <w:highlight w:val="none"/>
              </w:rPr>
              <w:t>其投标视为无效标处理。</w:t>
            </w:r>
          </w:p>
          <w:p>
            <w:pPr>
              <w:pStyle w:val="2"/>
              <w:ind w:firstLine="480" w:firstLineChars="200"/>
              <w:rPr>
                <w:rFonts w:hint="default" w:ascii="宋体" w:hAnsi="宋体" w:eastAsia="宋体" w:cs="Times New Roman"/>
                <w:color w:val="0000FF"/>
                <w:kern w:val="2"/>
                <w:sz w:val="24"/>
                <w:szCs w:val="24"/>
                <w:highlight w:val="none"/>
                <w:lang w:val="en-US" w:eastAsia="zh-CN" w:bidi="ar-SA"/>
              </w:rPr>
            </w:pPr>
            <w:r>
              <w:rPr>
                <w:rFonts w:hint="eastAsia" w:ascii="宋体" w:hAnsi="宋体" w:eastAsia="宋体" w:cs="Times New Roman"/>
                <w:color w:val="0000FF"/>
                <w:kern w:val="2"/>
                <w:sz w:val="24"/>
                <w:szCs w:val="24"/>
                <w:highlight w:val="none"/>
                <w:lang w:val="en-US" w:eastAsia="zh-CN" w:bidi="ar-SA"/>
              </w:rPr>
              <w:t>3、所有投标单位对招标文件中所有条款如有疑问或异议请在开标以书面形式提出，否则不予受理。</w:t>
            </w:r>
          </w:p>
          <w:p>
            <w:pPr>
              <w:pStyle w:val="2"/>
              <w:ind w:firstLine="480" w:firstLineChars="200"/>
              <w:rPr>
                <w:rFonts w:hint="eastAsia"/>
              </w:rPr>
            </w:pPr>
            <w:r>
              <w:rPr>
                <w:rFonts w:hint="eastAsia" w:ascii="宋体" w:hAnsi="宋体" w:eastAsia="宋体" w:cs="Times New Roman"/>
                <w:color w:val="0000FF"/>
                <w:kern w:val="2"/>
                <w:sz w:val="24"/>
                <w:szCs w:val="24"/>
                <w:highlight w:val="none"/>
                <w:lang w:val="en-US" w:eastAsia="zh-CN" w:bidi="ar-SA"/>
              </w:rPr>
              <w:t>4、投标企业如要弃标以书面形式将弃标函交至招标代理公司，否则将按照相关规定对未提交弃标函的企业做出相应处罚。</w:t>
            </w:r>
          </w:p>
          <w:p>
            <w:pPr>
              <w:keepNext w:val="0"/>
              <w:keepLines w:val="0"/>
              <w:pageBreakBefore w:val="0"/>
              <w:kinsoku/>
              <w:wordWrap/>
              <w:overflowPunct/>
              <w:topLinePunct w:val="0"/>
              <w:autoSpaceDE/>
              <w:autoSpaceDN/>
              <w:bidi w:val="0"/>
              <w:adjustRightInd/>
              <w:snapToGrid/>
              <w:spacing w:line="300" w:lineRule="exact"/>
              <w:ind w:left="0" w:right="0" w:firstLine="482" w:firstLineChars="200"/>
              <w:jc w:val="both"/>
              <w:textAlignment w:val="auto"/>
              <w:rPr>
                <w:rFonts w:hint="eastAsia" w:ascii="宋体" w:hAnsi="宋体" w:eastAsia="宋体" w:cs="Times New Roman"/>
                <w:color w:val="0000FF"/>
                <w:sz w:val="24"/>
                <w:highlight w:val="none"/>
                <w:lang w:val="en-US" w:eastAsia="zh-CN"/>
              </w:rPr>
            </w:pPr>
            <w:r>
              <w:rPr>
                <w:rFonts w:hint="eastAsia" w:ascii="宋体" w:hAnsi="宋体" w:cs="Times New Roman"/>
                <w:b/>
                <w:bCs/>
                <w:color w:val="0000FF"/>
                <w:sz w:val="24"/>
                <w:highlight w:val="none"/>
                <w:lang w:val="en-US" w:eastAsia="zh-CN"/>
              </w:rPr>
              <w:t>5</w:t>
            </w:r>
            <w:r>
              <w:rPr>
                <w:rFonts w:hint="eastAsia" w:ascii="宋体" w:hAnsi="宋体" w:eastAsia="宋体" w:cs="Times New Roman"/>
                <w:b/>
                <w:bCs/>
                <w:color w:val="0000FF"/>
                <w:sz w:val="24"/>
                <w:highlight w:val="none"/>
                <w:lang w:val="en-US" w:eastAsia="zh-CN"/>
              </w:rPr>
              <w:t>、为确保投标保证金的及时退还，评标结束后投标企业需提供保证金汇款凭证、开户许可证复印件、收据并注明开户行行号、联系方式（加盖公司鲜公章）交至和田市公共资源交易中心财务室办理。（注：废标项目投标保证金在后续项目再次招标时银行系统不做统计，投标企业及时办理退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94"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240" w:firstLineChars="100"/>
              <w:jc w:val="both"/>
              <w:textAlignment w:val="auto"/>
              <w:rPr>
                <w:rFonts w:hint="default"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29</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补充说明</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b/>
                <w:bCs/>
                <w:color w:val="0000FF"/>
                <w:sz w:val="24"/>
                <w:highlight w:val="none"/>
                <w:lang w:val="en-US" w:eastAsia="zh-CN"/>
              </w:rPr>
            </w:pPr>
            <w:r>
              <w:rPr>
                <w:rFonts w:hint="eastAsia" w:ascii="宋体" w:hAnsi="宋体" w:eastAsia="宋体" w:cs="Times New Roman"/>
                <w:b/>
                <w:bCs/>
                <w:color w:val="0000FF"/>
                <w:sz w:val="24"/>
                <w:highlight w:val="none"/>
                <w:lang w:val="en-US" w:eastAsia="zh-CN"/>
              </w:rPr>
              <w:t>各投标人随身携带下列有效证件以备随时查验：</w:t>
            </w:r>
          </w:p>
          <w:p>
            <w:pPr>
              <w:keepNext w:val="0"/>
              <w:keepLines w:val="0"/>
              <w:pageBreakBefore w:val="0"/>
              <w:kinsoku/>
              <w:wordWrap/>
              <w:overflowPunct/>
              <w:topLinePunct w:val="0"/>
              <w:autoSpaceDE/>
              <w:autoSpaceDN/>
              <w:bidi w:val="0"/>
              <w:adjustRightInd/>
              <w:snapToGrid/>
              <w:spacing w:line="300" w:lineRule="exact"/>
              <w:ind w:left="0" w:right="0" w:firstLine="482" w:firstLineChars="200"/>
              <w:jc w:val="both"/>
              <w:textAlignment w:val="auto"/>
              <w:rPr>
                <w:rFonts w:hint="eastAsia" w:ascii="宋体" w:hAnsi="宋体" w:eastAsia="宋体" w:cs="Times New Roman"/>
                <w:b/>
                <w:bCs/>
                <w:color w:val="0000FF"/>
                <w:sz w:val="24"/>
                <w:highlight w:val="none"/>
                <w:lang w:val="en-US" w:eastAsia="zh-CN"/>
              </w:rPr>
            </w:pPr>
            <w:r>
              <w:rPr>
                <w:rFonts w:hint="eastAsia" w:ascii="宋体" w:hAnsi="宋体" w:eastAsia="宋体" w:cs="Times New Roman"/>
                <w:b/>
                <w:bCs/>
                <w:color w:val="0000FF"/>
                <w:sz w:val="24"/>
                <w:highlight w:val="none"/>
                <w:lang w:val="en-US" w:eastAsia="zh-CN"/>
              </w:rPr>
              <w:t>1、法人委托人须携带法人代表授权书原件及委托人身份证原件(授权书需附法人身份证及委托人身份证复印件)；被授权委托人在本单位缴纳的近</w:t>
            </w:r>
            <w:r>
              <w:rPr>
                <w:rFonts w:hint="eastAsia" w:ascii="宋体" w:hAnsi="宋体" w:cs="Times New Roman"/>
                <w:b/>
                <w:bCs/>
                <w:color w:val="0000FF"/>
                <w:sz w:val="24"/>
                <w:highlight w:val="none"/>
                <w:lang w:val="en-US" w:eastAsia="zh-CN"/>
              </w:rPr>
              <w:t>六</w:t>
            </w:r>
            <w:r>
              <w:rPr>
                <w:rFonts w:hint="eastAsia" w:ascii="宋体" w:hAnsi="宋体" w:eastAsia="宋体" w:cs="Times New Roman"/>
                <w:b/>
                <w:bCs/>
                <w:color w:val="0000FF"/>
                <w:sz w:val="24"/>
                <w:highlight w:val="none"/>
                <w:lang w:val="en-US" w:eastAsia="zh-CN"/>
              </w:rPr>
              <w:t>个月内社保缴纳证明（社保缴费凭证原件和个人明细表）；</w:t>
            </w:r>
          </w:p>
          <w:p>
            <w:pPr>
              <w:keepNext w:val="0"/>
              <w:keepLines w:val="0"/>
              <w:pageBreakBefore w:val="0"/>
              <w:kinsoku/>
              <w:wordWrap/>
              <w:overflowPunct/>
              <w:topLinePunct w:val="0"/>
              <w:autoSpaceDE/>
              <w:autoSpaceDN/>
              <w:bidi w:val="0"/>
              <w:adjustRightInd/>
              <w:snapToGrid/>
              <w:spacing w:line="300" w:lineRule="exact"/>
              <w:ind w:left="0" w:right="0" w:firstLine="482" w:firstLineChars="200"/>
              <w:jc w:val="both"/>
              <w:textAlignment w:val="auto"/>
              <w:rPr>
                <w:rFonts w:hint="eastAsia" w:ascii="宋体" w:hAnsi="宋体" w:eastAsia="宋体" w:cs="Times New Roman"/>
                <w:b/>
                <w:bCs/>
                <w:color w:val="0000FF"/>
                <w:sz w:val="24"/>
                <w:highlight w:val="none"/>
                <w:lang w:val="en-US" w:eastAsia="zh-CN"/>
              </w:rPr>
            </w:pPr>
            <w:r>
              <w:rPr>
                <w:rFonts w:hint="eastAsia" w:ascii="宋体" w:hAnsi="宋体" w:eastAsia="宋体" w:cs="Times New Roman"/>
                <w:b/>
                <w:bCs/>
                <w:color w:val="0000FF"/>
                <w:sz w:val="24"/>
                <w:highlight w:val="none"/>
                <w:lang w:val="en-US" w:eastAsia="zh-CN"/>
              </w:rPr>
              <w:t>2、有效的营业执照、税务登记证、组织机构代码证（或三证合一营业执照）</w:t>
            </w:r>
          </w:p>
          <w:p>
            <w:pPr>
              <w:pStyle w:val="2"/>
              <w:ind w:firstLine="482" w:firstLineChars="200"/>
              <w:rPr>
                <w:rFonts w:hint="eastAsia" w:ascii="宋体" w:hAnsi="宋体" w:eastAsia="宋体" w:cs="Times New Roman"/>
                <w:b/>
                <w:bCs/>
                <w:color w:val="0000FF"/>
                <w:kern w:val="2"/>
                <w:sz w:val="24"/>
                <w:szCs w:val="24"/>
                <w:highlight w:val="none"/>
                <w:lang w:val="en-US" w:eastAsia="zh-CN" w:bidi="ar-SA"/>
              </w:rPr>
            </w:pPr>
            <w:r>
              <w:rPr>
                <w:rFonts w:hint="eastAsia" w:ascii="宋体" w:hAnsi="宋体" w:cs="Times New Roman"/>
                <w:b/>
                <w:bCs/>
                <w:color w:val="0000FF"/>
                <w:kern w:val="2"/>
                <w:sz w:val="24"/>
                <w:szCs w:val="24"/>
                <w:highlight w:val="none"/>
                <w:lang w:val="en-US" w:eastAsia="zh-CN" w:bidi="ar-SA"/>
              </w:rPr>
              <w:t>3、</w:t>
            </w:r>
            <w:r>
              <w:rPr>
                <w:rFonts w:hint="eastAsia" w:ascii="宋体" w:hAnsi="宋体" w:eastAsia="宋体" w:cs="Times New Roman"/>
                <w:b/>
                <w:bCs/>
                <w:color w:val="0000FF"/>
                <w:kern w:val="2"/>
                <w:sz w:val="24"/>
                <w:szCs w:val="24"/>
                <w:highlight w:val="none"/>
                <w:lang w:val="en-US" w:eastAsia="zh-CN" w:bidi="ar-SA"/>
              </w:rPr>
              <w:t>建设工程质量检测机构资质证书（须包含主体结构工程检测等专项检测）原件；</w:t>
            </w:r>
          </w:p>
          <w:p>
            <w:pPr>
              <w:keepNext w:val="0"/>
              <w:keepLines w:val="0"/>
              <w:pageBreakBefore w:val="0"/>
              <w:kinsoku/>
              <w:wordWrap/>
              <w:overflowPunct/>
              <w:topLinePunct w:val="0"/>
              <w:autoSpaceDE/>
              <w:autoSpaceDN/>
              <w:bidi w:val="0"/>
              <w:adjustRightInd/>
              <w:snapToGrid/>
              <w:spacing w:line="300" w:lineRule="exact"/>
              <w:ind w:left="239" w:leftChars="114" w:right="0" w:firstLine="361" w:firstLineChars="150"/>
              <w:jc w:val="both"/>
              <w:textAlignment w:val="auto"/>
              <w:rPr>
                <w:rFonts w:hint="eastAsia" w:ascii="宋体" w:hAnsi="宋体" w:eastAsia="宋体" w:cs="Times New Roman"/>
                <w:b/>
                <w:bCs/>
                <w:color w:val="0000FF"/>
                <w:sz w:val="24"/>
                <w:highlight w:val="none"/>
                <w:lang w:val="en-US" w:eastAsia="zh-CN"/>
              </w:rPr>
            </w:pPr>
            <w:r>
              <w:rPr>
                <w:rFonts w:hint="eastAsia" w:ascii="宋体" w:hAnsi="宋体" w:cs="Times New Roman"/>
                <w:b/>
                <w:bCs/>
                <w:color w:val="0000FF"/>
                <w:kern w:val="2"/>
                <w:sz w:val="24"/>
                <w:szCs w:val="24"/>
                <w:highlight w:val="none"/>
                <w:lang w:val="en-US" w:eastAsia="zh-CN" w:bidi="ar-SA"/>
              </w:rPr>
              <w:t>4</w:t>
            </w:r>
            <w:r>
              <w:rPr>
                <w:rFonts w:hint="eastAsia" w:ascii="宋体" w:hAnsi="宋体" w:eastAsia="宋体" w:cs="Times New Roman"/>
                <w:b/>
                <w:bCs/>
                <w:color w:val="0000FF"/>
                <w:kern w:val="2"/>
                <w:sz w:val="24"/>
                <w:szCs w:val="24"/>
                <w:highlight w:val="none"/>
                <w:lang w:val="en-US" w:eastAsia="zh-CN" w:bidi="ar-SA"/>
              </w:rPr>
              <w:t>、具有良</w:t>
            </w:r>
            <w:r>
              <w:rPr>
                <w:rFonts w:hint="eastAsia" w:ascii="宋体" w:hAnsi="宋体" w:eastAsia="宋体" w:cs="Times New Roman"/>
                <w:b/>
                <w:bCs/>
                <w:color w:val="0000FF"/>
                <w:sz w:val="24"/>
                <w:highlight w:val="none"/>
                <w:lang w:val="en-US" w:eastAsia="zh-CN"/>
              </w:rPr>
              <w:t>好的商业信誉和健全的财务会计制度（提供</w:t>
            </w:r>
            <w:r>
              <w:rPr>
                <w:rFonts w:hint="eastAsia" w:ascii="宋体" w:hAnsi="宋体" w:cs="Times New Roman"/>
                <w:b/>
                <w:bCs/>
                <w:color w:val="0000FF"/>
                <w:sz w:val="24"/>
                <w:highlight w:val="none"/>
                <w:lang w:val="en-US" w:eastAsia="zh-CN"/>
              </w:rPr>
              <w:t>2019</w:t>
            </w:r>
            <w:r>
              <w:rPr>
                <w:rFonts w:hint="eastAsia" w:ascii="宋体" w:hAnsi="宋体" w:eastAsia="宋体" w:cs="Times New Roman"/>
                <w:b/>
                <w:bCs/>
                <w:color w:val="0000FF"/>
                <w:sz w:val="24"/>
                <w:highlight w:val="none"/>
                <w:lang w:val="en-US" w:eastAsia="zh-CN"/>
              </w:rPr>
              <w:t>年度财务审计报告）；</w:t>
            </w:r>
          </w:p>
          <w:p>
            <w:pPr>
              <w:keepNext w:val="0"/>
              <w:keepLines w:val="0"/>
              <w:pageBreakBefore w:val="0"/>
              <w:kinsoku/>
              <w:wordWrap/>
              <w:overflowPunct/>
              <w:topLinePunct w:val="0"/>
              <w:autoSpaceDE/>
              <w:autoSpaceDN/>
              <w:bidi w:val="0"/>
              <w:adjustRightInd/>
              <w:snapToGrid/>
              <w:spacing w:line="300" w:lineRule="exact"/>
              <w:ind w:left="0" w:right="0" w:firstLine="482" w:firstLineChars="200"/>
              <w:jc w:val="both"/>
              <w:textAlignment w:val="auto"/>
              <w:rPr>
                <w:rFonts w:hint="default" w:ascii="宋体" w:hAnsi="宋体" w:eastAsia="宋体" w:cs="Times New Roman"/>
                <w:b/>
                <w:bCs/>
                <w:color w:val="0000FF"/>
                <w:sz w:val="24"/>
                <w:highlight w:val="none"/>
                <w:lang w:val="en-US" w:eastAsia="zh-CN"/>
              </w:rPr>
            </w:pPr>
            <w:r>
              <w:rPr>
                <w:rFonts w:hint="eastAsia" w:ascii="宋体" w:hAnsi="宋体" w:cs="Times New Roman"/>
                <w:b/>
                <w:bCs/>
                <w:color w:val="0000FF"/>
                <w:sz w:val="24"/>
                <w:highlight w:val="none"/>
                <w:lang w:val="en-US" w:eastAsia="zh-CN"/>
              </w:rPr>
              <w:t>5</w:t>
            </w:r>
            <w:r>
              <w:rPr>
                <w:rFonts w:hint="eastAsia" w:ascii="宋体" w:hAnsi="宋体" w:eastAsia="宋体" w:cs="Times New Roman"/>
                <w:b/>
                <w:bCs/>
                <w:color w:val="0000FF"/>
                <w:sz w:val="24"/>
                <w:highlight w:val="none"/>
                <w:lang w:val="en-US" w:eastAsia="zh-CN"/>
              </w:rPr>
              <w:t>、投标保证金电子凭证；</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0000FF"/>
                <w:sz w:val="24"/>
                <w:highlight w:val="none"/>
                <w:lang w:val="en-US" w:eastAsia="zh-CN"/>
              </w:rPr>
            </w:pPr>
            <w:r>
              <w:rPr>
                <w:rFonts w:hint="eastAsia" w:ascii="宋体" w:hAnsi="宋体" w:eastAsia="宋体" w:cs="Times New Roman"/>
                <w:b/>
                <w:bCs/>
                <w:color w:val="0000FF"/>
                <w:sz w:val="24"/>
                <w:highlight w:val="none"/>
                <w:lang w:val="en-US" w:eastAsia="zh-CN"/>
              </w:rPr>
              <w:t>注：法定代表人授权委托书应当单独提供，并与投标文件中所提供的相一致。以上证件均应当为原件。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9555" w:type="dxa"/>
            <w:gridSpan w:val="3"/>
            <w:vAlign w:val="center"/>
          </w:tcPr>
          <w:p>
            <w:pPr>
              <w:keepNext w:val="0"/>
              <w:keepLines w:val="0"/>
              <w:pageBreakBefore w:val="0"/>
              <w:kinsoku/>
              <w:wordWrap/>
              <w:overflowPunct/>
              <w:topLinePunct w:val="0"/>
              <w:autoSpaceDE/>
              <w:autoSpaceDN/>
              <w:bidi w:val="0"/>
              <w:adjustRightInd/>
              <w:snapToGrid/>
              <w:spacing w:line="300" w:lineRule="exact"/>
              <w:ind w:left="0" w:right="0" w:firstLine="482" w:firstLineChars="200"/>
              <w:jc w:val="both"/>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b/>
                <w:bCs/>
                <w:color w:val="auto"/>
                <w:sz w:val="24"/>
                <w:highlight w:val="none"/>
                <w:lang w:val="en-US" w:eastAsia="zh-CN"/>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的同时不得耽误本项目供货。</w:t>
            </w:r>
          </w:p>
        </w:tc>
      </w:tr>
    </w:tbl>
    <w:p>
      <w:pPr>
        <w:spacing w:line="500" w:lineRule="exact"/>
        <w:ind w:left="0" w:leftChars="0" w:firstLine="0" w:firstLineChars="0"/>
        <w:jc w:val="both"/>
        <w:rPr>
          <w:rFonts w:hint="eastAsia" w:ascii="宋体" w:hAnsi="宋体" w:cs="宋体"/>
          <w:b/>
          <w:sz w:val="24"/>
        </w:rPr>
      </w:pPr>
    </w:p>
    <w:p>
      <w:pPr>
        <w:spacing w:line="500" w:lineRule="exact"/>
        <w:ind w:left="120" w:hanging="120"/>
        <w:jc w:val="center"/>
        <w:rPr>
          <w:rFonts w:hint="eastAsia" w:ascii="宋体" w:hAnsi="宋体" w:cs="宋体"/>
          <w:b/>
          <w:sz w:val="24"/>
        </w:rPr>
      </w:pPr>
    </w:p>
    <w:p>
      <w:pPr>
        <w:spacing w:line="500" w:lineRule="exact"/>
        <w:ind w:left="120" w:hanging="120"/>
        <w:jc w:val="center"/>
        <w:rPr>
          <w:rFonts w:ascii="宋体" w:hAnsi="宋体" w:cs="宋体"/>
          <w:b/>
          <w:sz w:val="24"/>
        </w:rPr>
      </w:pPr>
      <w:r>
        <w:rPr>
          <w:rFonts w:hint="eastAsia" w:ascii="宋体" w:hAnsi="宋体" w:cs="宋体"/>
          <w:b/>
          <w:sz w:val="24"/>
        </w:rPr>
        <w:t>投标人须知正文部分</w:t>
      </w:r>
    </w:p>
    <w:p>
      <w:pPr>
        <w:spacing w:line="500" w:lineRule="exact"/>
        <w:ind w:left="120" w:hanging="120"/>
        <w:jc w:val="center"/>
        <w:rPr>
          <w:rFonts w:ascii="宋体" w:hAnsi="宋体" w:cs="宋体"/>
          <w:b/>
          <w:sz w:val="24"/>
        </w:rPr>
      </w:pPr>
      <w:r>
        <w:rPr>
          <w:rFonts w:hint="eastAsia" w:ascii="宋体" w:hAnsi="宋体" w:cs="宋体"/>
          <w:b/>
          <w:sz w:val="24"/>
        </w:rPr>
        <w:t>一、总  则</w:t>
      </w:r>
    </w:p>
    <w:p>
      <w:pPr>
        <w:spacing w:line="500" w:lineRule="exact"/>
        <w:ind w:firstLine="482" w:firstLineChars="200"/>
        <w:rPr>
          <w:rFonts w:ascii="宋体" w:hAnsi="宋体" w:cs="宋体"/>
          <w:b/>
          <w:sz w:val="24"/>
        </w:rPr>
      </w:pPr>
      <w:r>
        <w:rPr>
          <w:rFonts w:hint="eastAsia" w:ascii="宋体" w:hAnsi="宋体" w:cs="宋体"/>
          <w:b/>
          <w:sz w:val="24"/>
        </w:rPr>
        <w:t>1、适用范围</w:t>
      </w:r>
    </w:p>
    <w:p>
      <w:pPr>
        <w:spacing w:line="500" w:lineRule="exact"/>
        <w:ind w:firstLine="480" w:firstLineChars="200"/>
        <w:rPr>
          <w:rFonts w:ascii="宋体" w:hAnsi="宋体" w:cs="宋体"/>
          <w:sz w:val="24"/>
        </w:rPr>
      </w:pPr>
      <w:r>
        <w:rPr>
          <w:rFonts w:hint="eastAsia" w:ascii="宋体" w:hAnsi="宋体" w:cs="宋体"/>
          <w:sz w:val="24"/>
        </w:rPr>
        <w:t>1.1</w:t>
      </w:r>
      <w:r>
        <w:rPr>
          <w:rFonts w:hint="eastAsia" w:ascii="宋体" w:hAnsi="宋体"/>
          <w:sz w:val="24"/>
        </w:rPr>
        <w:t>本招标文件仅适用于本投标中所述的招标项目</w:t>
      </w:r>
      <w:r>
        <w:rPr>
          <w:rFonts w:hint="eastAsia" w:ascii="宋体" w:hAnsi="宋体" w:cs="宋体"/>
          <w:sz w:val="24"/>
        </w:rPr>
        <w:t>。</w:t>
      </w:r>
    </w:p>
    <w:p>
      <w:pPr>
        <w:spacing w:line="500" w:lineRule="exact"/>
        <w:ind w:firstLine="482" w:firstLineChars="200"/>
        <w:rPr>
          <w:rFonts w:ascii="宋体" w:hAnsi="宋体" w:cs="宋体"/>
          <w:b/>
          <w:sz w:val="24"/>
        </w:rPr>
      </w:pPr>
      <w:r>
        <w:rPr>
          <w:rFonts w:hint="eastAsia" w:ascii="宋体" w:hAnsi="宋体" w:cs="宋体"/>
          <w:b/>
          <w:sz w:val="24"/>
        </w:rPr>
        <w:t>2、合格的投标人</w:t>
      </w:r>
    </w:p>
    <w:p>
      <w:pPr>
        <w:spacing w:line="500" w:lineRule="exact"/>
        <w:ind w:firstLine="463" w:firstLineChars="192"/>
        <w:rPr>
          <w:rFonts w:ascii="宋体" w:hAnsi="宋体" w:cs="宋体"/>
          <w:b/>
          <w:sz w:val="24"/>
        </w:rPr>
      </w:pPr>
      <w:r>
        <w:rPr>
          <w:rFonts w:hint="eastAsia" w:ascii="宋体" w:hAnsi="宋体" w:cs="宋体"/>
          <w:b/>
          <w:sz w:val="24"/>
        </w:rPr>
        <w:t>2.1投标人资格要求：</w:t>
      </w:r>
    </w:p>
    <w:p>
      <w:pPr>
        <w:spacing w:line="500" w:lineRule="exact"/>
        <w:ind w:left="120" w:hanging="120"/>
        <w:rPr>
          <w:rFonts w:hint="eastAsia" w:ascii="宋体" w:hAnsi="宋体" w:cs="宋体"/>
          <w:sz w:val="24"/>
          <w:highlight w:val="none"/>
        </w:rPr>
      </w:pPr>
      <w:r>
        <w:rPr>
          <w:rFonts w:hint="eastAsia" w:ascii="宋体" w:hAnsi="宋体" w:cs="宋体"/>
          <w:sz w:val="24"/>
        </w:rPr>
        <w:t xml:space="preserve">    2.1</w:t>
      </w:r>
      <w:r>
        <w:rPr>
          <w:rFonts w:hint="eastAsia" w:ascii="宋体" w:hAnsi="宋体" w:cs="宋体"/>
          <w:sz w:val="24"/>
          <w:highlight w:val="none"/>
        </w:rPr>
        <w:t>.1、供应商必须符合《中华人民共和国政府采购法》第二十二条规定：具有独立法人资格，有独立承担民事行为责任的能力；能提供本项目全部服务的投标人；</w:t>
      </w:r>
    </w:p>
    <w:p>
      <w:pPr>
        <w:spacing w:line="500" w:lineRule="exact"/>
        <w:ind w:left="120" w:hanging="120"/>
        <w:rPr>
          <w:rFonts w:ascii="宋体" w:hAnsi="宋体" w:cs="宋体"/>
          <w:sz w:val="24"/>
          <w:highlight w:val="none"/>
        </w:rPr>
      </w:pPr>
      <w:r>
        <w:rPr>
          <w:rFonts w:hint="eastAsia" w:ascii="宋体" w:hAnsi="宋体" w:cs="宋体"/>
          <w:sz w:val="24"/>
          <w:highlight w:val="none"/>
        </w:rPr>
        <w:t xml:space="preserve">    2.1.2、需具备</w:t>
      </w:r>
      <w:r>
        <w:rPr>
          <w:rFonts w:hint="eastAsia" w:ascii="宋体" w:hAnsi="宋体" w:cs="宋体"/>
          <w:sz w:val="24"/>
          <w:highlight w:val="none"/>
          <w:lang w:val="en-US" w:eastAsia="zh-CN"/>
        </w:rPr>
        <w:t>有效的营业执照、税务登记证、组织机构代码证（或</w:t>
      </w:r>
      <w:r>
        <w:rPr>
          <w:rFonts w:hint="eastAsia" w:ascii="宋体" w:hAnsi="宋体" w:cs="宋体"/>
          <w:sz w:val="24"/>
          <w:highlight w:val="none"/>
        </w:rPr>
        <w:t>三证合一营业执照</w:t>
      </w:r>
      <w:r>
        <w:rPr>
          <w:rFonts w:hint="eastAsia" w:ascii="宋体" w:hAnsi="宋体" w:cs="宋体"/>
          <w:sz w:val="24"/>
          <w:highlight w:val="none"/>
          <w:lang w:eastAsia="zh-CN"/>
        </w:rPr>
        <w:t>）</w:t>
      </w:r>
      <w:r>
        <w:rPr>
          <w:rFonts w:hint="eastAsia" w:ascii="宋体" w:hAnsi="宋体" w:cs="宋体"/>
          <w:sz w:val="24"/>
          <w:highlight w:val="none"/>
        </w:rPr>
        <w:t>，法人委托人须携带法人代表授权书原件及委托人身份证原件(授权书需附法人身份证及委托人身份证复印件)</w:t>
      </w:r>
      <w:r>
        <w:rPr>
          <w:rFonts w:hint="eastAsia" w:ascii="宋体" w:hAnsi="宋体" w:cs="宋体"/>
          <w:sz w:val="24"/>
          <w:highlight w:val="none"/>
          <w:lang w:eastAsia="zh-CN"/>
        </w:rPr>
        <w:t>；被授权委托人在本单位缴纳的近</w:t>
      </w:r>
      <w:r>
        <w:rPr>
          <w:rFonts w:hint="eastAsia" w:ascii="宋体" w:hAnsi="宋体" w:cs="宋体"/>
          <w:sz w:val="24"/>
          <w:highlight w:val="none"/>
          <w:lang w:val="en-US" w:eastAsia="zh-CN"/>
        </w:rPr>
        <w:t>六</w:t>
      </w:r>
      <w:r>
        <w:rPr>
          <w:rFonts w:hint="eastAsia" w:ascii="宋体" w:hAnsi="宋体" w:cs="宋体"/>
          <w:sz w:val="24"/>
          <w:highlight w:val="none"/>
          <w:lang w:eastAsia="zh-CN"/>
        </w:rPr>
        <w:t>个月内社保缴纳证明（社保缴费凭证原件和个人明细表）</w:t>
      </w:r>
      <w:r>
        <w:rPr>
          <w:rFonts w:hint="eastAsia" w:ascii="宋体" w:hAnsi="宋体" w:cs="宋体"/>
          <w:sz w:val="24"/>
          <w:highlight w:val="none"/>
        </w:rPr>
        <w:t>；</w:t>
      </w:r>
    </w:p>
    <w:p>
      <w:pPr>
        <w:spacing w:line="500" w:lineRule="exact"/>
        <w:ind w:left="120" w:hanging="120"/>
        <w:rPr>
          <w:rFonts w:hint="eastAsia" w:ascii="宋体" w:hAnsi="宋体" w:cs="宋体"/>
          <w:sz w:val="24"/>
          <w:highlight w:val="none"/>
        </w:rPr>
      </w:pPr>
      <w:r>
        <w:rPr>
          <w:rFonts w:hint="eastAsia" w:ascii="宋体" w:hAnsi="宋体" w:cs="宋体"/>
          <w:sz w:val="24"/>
          <w:highlight w:val="none"/>
        </w:rPr>
        <w:t xml:space="preserve">    2.1.3</w:t>
      </w:r>
      <w:r>
        <w:rPr>
          <w:rFonts w:hint="eastAsia" w:ascii="宋体" w:hAnsi="宋体" w:cs="宋体"/>
          <w:sz w:val="24"/>
          <w:highlight w:val="none"/>
          <w:lang w:eastAsia="zh-CN"/>
        </w:rPr>
        <w:t>、</w:t>
      </w:r>
      <w:r>
        <w:rPr>
          <w:rFonts w:hint="eastAsia" w:ascii="宋体" w:hAnsi="宋体" w:eastAsia="宋体" w:cs="Times New Roman"/>
          <w:sz w:val="24"/>
          <w:lang w:val="en-US" w:eastAsia="zh-CN"/>
        </w:rPr>
        <w:t>建设工程质量检测机构资质证书（须包含主体结构工程检测等专项检测）原件</w:t>
      </w:r>
      <w:r>
        <w:rPr>
          <w:rFonts w:hint="eastAsia" w:ascii="宋体" w:hAnsi="宋体" w:cs="宋体"/>
          <w:sz w:val="24"/>
          <w:highlight w:val="none"/>
        </w:rPr>
        <w:t>；</w:t>
      </w:r>
    </w:p>
    <w:p>
      <w:pPr>
        <w:spacing w:line="500" w:lineRule="exact"/>
        <w:ind w:left="120" w:hanging="120"/>
        <w:rPr>
          <w:rFonts w:ascii="宋体" w:hAnsi="宋体" w:cs="宋体"/>
          <w:sz w:val="24"/>
          <w:highlight w:val="none"/>
        </w:rPr>
      </w:pPr>
      <w:r>
        <w:rPr>
          <w:rFonts w:hint="eastAsia" w:ascii="宋体" w:hAnsi="宋体" w:cs="宋体"/>
          <w:sz w:val="24"/>
          <w:highlight w:val="none"/>
        </w:rPr>
        <w:t xml:space="preserve">    2.1.</w:t>
      </w:r>
      <w:r>
        <w:rPr>
          <w:rFonts w:hint="eastAsia" w:ascii="宋体" w:hAnsi="宋体" w:cs="宋体"/>
          <w:sz w:val="24"/>
          <w:highlight w:val="none"/>
          <w:lang w:val="en-US" w:eastAsia="zh-CN"/>
        </w:rPr>
        <w:t>4、具有良好的商业信誉和健全的财务会计制度（提供2019年度财务审计报告）</w:t>
      </w:r>
      <w:r>
        <w:rPr>
          <w:rFonts w:hint="eastAsia" w:ascii="宋体" w:hAnsi="宋体" w:cs="宋体"/>
          <w:sz w:val="24"/>
          <w:highlight w:val="none"/>
        </w:rPr>
        <w:t>；</w:t>
      </w:r>
    </w:p>
    <w:p>
      <w:pPr>
        <w:spacing w:line="500" w:lineRule="exact"/>
        <w:ind w:left="120" w:hanging="120"/>
        <w:rPr>
          <w:rFonts w:ascii="宋体" w:hAnsi="宋体" w:cs="宋体"/>
          <w:sz w:val="24"/>
          <w:highlight w:val="none"/>
        </w:rPr>
      </w:pPr>
      <w:r>
        <w:rPr>
          <w:rFonts w:hint="eastAsia" w:ascii="宋体" w:hAnsi="宋体" w:cs="宋体"/>
          <w:sz w:val="24"/>
          <w:highlight w:val="none"/>
        </w:rPr>
        <w:t xml:space="preserve">    2.1.5、</w:t>
      </w:r>
      <w:r>
        <w:rPr>
          <w:rFonts w:hint="eastAsia" w:ascii="宋体" w:hAnsi="宋体" w:eastAsia="宋体" w:cs="宋体"/>
          <w:sz w:val="24"/>
          <w:highlight w:val="none"/>
          <w:lang w:val="en-US" w:eastAsia="zh-CN"/>
        </w:rPr>
        <w:t>凡拟参加本次招标项目的投标人，如在“信用中国”网站(WWW.creditchina.gov.cn)、中国政府釆购网(www.ccgp.gov.cn)、国家企业信用信息公示系统(http://www.gsxt.gov.cn)</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中国裁判文书网（http://wenshu.court.gov.cn/）被列入失信被执行人、重大税收违法案件当事人名单、政府采购严重违法失信行为记录名单的(尚在处罚期内的)、经营异常名录的，将拒绝其参与本次政府釆购活动。</w:t>
      </w:r>
    </w:p>
    <w:p>
      <w:pPr>
        <w:spacing w:line="500" w:lineRule="exact"/>
        <w:ind w:left="239" w:leftChars="114" w:firstLine="360" w:firstLineChars="150"/>
        <w:jc w:val="left"/>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2.1.6、本项目不接受联合体投标。</w:t>
      </w:r>
    </w:p>
    <w:p>
      <w:pPr>
        <w:spacing w:line="500" w:lineRule="exact"/>
        <w:ind w:left="120" w:hanging="120"/>
        <w:rPr>
          <w:rFonts w:ascii="宋体" w:hAnsi="宋体" w:cs="宋体"/>
          <w:sz w:val="24"/>
        </w:rPr>
      </w:pPr>
      <w:r>
        <w:rPr>
          <w:rFonts w:hint="eastAsia" w:ascii="宋体" w:hAnsi="宋体" w:cs="宋体"/>
          <w:sz w:val="24"/>
        </w:rPr>
        <w:t xml:space="preserve">     2.2 投标人在本次招标活动中，必须遵守《中华人民共和国招标投标法》的规定。</w:t>
      </w:r>
    </w:p>
    <w:p>
      <w:pPr>
        <w:spacing w:line="500" w:lineRule="exact"/>
        <w:ind w:firstLine="482" w:firstLineChars="200"/>
        <w:rPr>
          <w:rFonts w:ascii="宋体" w:hAnsi="宋体" w:cs="宋体"/>
          <w:b/>
          <w:sz w:val="24"/>
        </w:rPr>
      </w:pPr>
      <w:r>
        <w:rPr>
          <w:rFonts w:hint="eastAsia" w:ascii="宋体" w:hAnsi="宋体" w:cs="宋体"/>
          <w:b/>
          <w:sz w:val="24"/>
        </w:rPr>
        <w:t>3、定义</w:t>
      </w:r>
    </w:p>
    <w:p>
      <w:pPr>
        <w:pStyle w:val="20"/>
        <w:overflowPunct w:val="0"/>
        <w:spacing w:line="500" w:lineRule="exact"/>
        <w:ind w:firstLine="480"/>
        <w:rPr>
          <w:rFonts w:ascii="宋体" w:hAnsi="宋体" w:cs="宋体"/>
          <w:szCs w:val="24"/>
          <w:lang w:val="zh-CN"/>
        </w:rPr>
      </w:pPr>
      <w:r>
        <w:rPr>
          <w:rFonts w:hint="eastAsia" w:ascii="宋体" w:hAnsi="宋体" w:cs="宋体"/>
          <w:szCs w:val="24"/>
        </w:rPr>
        <w:t>3.1 “招标人”系指合同中明确规定的实际购买货物和服务的法人、行政事业单位、团体组织。</w:t>
      </w:r>
    </w:p>
    <w:p>
      <w:pPr>
        <w:spacing w:line="500" w:lineRule="exact"/>
        <w:ind w:firstLine="480" w:firstLineChars="200"/>
        <w:rPr>
          <w:rFonts w:ascii="宋体" w:hAnsi="宋体" w:cs="宋体"/>
          <w:sz w:val="24"/>
        </w:rPr>
      </w:pPr>
      <w:r>
        <w:rPr>
          <w:rFonts w:hint="eastAsia" w:ascii="宋体" w:hAnsi="宋体" w:cs="宋体"/>
          <w:sz w:val="24"/>
        </w:rPr>
        <w:t>3.2 “投标人”系指响应招标，并按照招标文件的要求参与投标竞争的法人，中标后即为中标人，签定合同后即为卖方。</w:t>
      </w:r>
    </w:p>
    <w:p>
      <w:pPr>
        <w:pStyle w:val="20"/>
        <w:overflowPunct w:val="0"/>
        <w:spacing w:line="500" w:lineRule="exact"/>
        <w:ind w:firstLine="480"/>
        <w:rPr>
          <w:rFonts w:ascii="宋体" w:hAnsi="宋体" w:cs="宋体"/>
          <w:szCs w:val="24"/>
        </w:rPr>
      </w:pPr>
      <w:r>
        <w:rPr>
          <w:rFonts w:hint="eastAsia" w:ascii="宋体" w:hAnsi="宋体" w:cs="宋体"/>
          <w:szCs w:val="24"/>
        </w:rPr>
        <w:t>3.3 “招标机构”系指在委托人授权范围内具体组织实施招标活动的法人。</w:t>
      </w:r>
    </w:p>
    <w:p>
      <w:pPr>
        <w:spacing w:line="500" w:lineRule="exact"/>
        <w:ind w:firstLine="480" w:firstLineChars="200"/>
        <w:rPr>
          <w:rFonts w:ascii="宋体" w:hAnsi="宋体" w:cs="宋体"/>
          <w:sz w:val="24"/>
        </w:rPr>
      </w:pPr>
      <w:r>
        <w:rPr>
          <w:rFonts w:hint="eastAsia" w:ascii="宋体" w:hAnsi="宋体" w:cs="宋体"/>
          <w:sz w:val="24"/>
        </w:rPr>
        <w:t>3.4 “货物”系指卖方按合同要求，须向买方提供的一切产品及其它技术资料和材料。</w:t>
      </w:r>
    </w:p>
    <w:p>
      <w:pPr>
        <w:spacing w:line="500" w:lineRule="exact"/>
        <w:ind w:firstLine="480" w:firstLineChars="200"/>
        <w:rPr>
          <w:rFonts w:ascii="宋体" w:hAnsi="宋体" w:cs="宋体"/>
          <w:sz w:val="24"/>
        </w:rPr>
      </w:pPr>
      <w:r>
        <w:rPr>
          <w:rFonts w:hint="eastAsia" w:ascii="宋体" w:hAnsi="宋体" w:cs="宋体"/>
          <w:sz w:val="24"/>
        </w:rPr>
        <w:t>3.5 “服务”系指合同规定卖方须承担的技术协助、本地化开发、安装、调试和交付使用后免费维护期内应履行的义务及售后服务等其他类似的义务。</w:t>
      </w:r>
    </w:p>
    <w:p>
      <w:pPr>
        <w:spacing w:line="500" w:lineRule="exact"/>
        <w:ind w:firstLine="480" w:firstLineChars="200"/>
        <w:rPr>
          <w:rFonts w:ascii="宋体" w:hAnsi="宋体" w:cs="宋体"/>
          <w:sz w:val="24"/>
        </w:rPr>
      </w:pPr>
      <w:r>
        <w:rPr>
          <w:rFonts w:hint="eastAsia" w:ascii="宋体" w:hAnsi="宋体" w:cs="宋体"/>
          <w:sz w:val="24"/>
        </w:rPr>
        <w:t>3.6 “卖方”系指提供合同货物和服务的法人。</w:t>
      </w:r>
    </w:p>
    <w:p>
      <w:pPr>
        <w:spacing w:line="500" w:lineRule="exact"/>
        <w:ind w:firstLine="480" w:firstLineChars="200"/>
        <w:rPr>
          <w:rFonts w:ascii="宋体" w:hAnsi="宋体" w:cs="宋体"/>
          <w:sz w:val="24"/>
        </w:rPr>
      </w:pPr>
      <w:r>
        <w:rPr>
          <w:rFonts w:hint="eastAsia" w:ascii="宋体" w:hAnsi="宋体" w:cs="宋体"/>
          <w:sz w:val="24"/>
        </w:rPr>
        <w:t>3.7 “买方”系指购买货物的单位。</w:t>
      </w:r>
    </w:p>
    <w:p>
      <w:pPr>
        <w:spacing w:line="500" w:lineRule="exact"/>
        <w:ind w:firstLine="482" w:firstLineChars="200"/>
        <w:rPr>
          <w:rFonts w:ascii="宋体" w:hAnsi="宋体" w:cs="宋体"/>
          <w:b/>
          <w:sz w:val="24"/>
        </w:rPr>
      </w:pPr>
      <w:r>
        <w:rPr>
          <w:rFonts w:hint="eastAsia" w:ascii="宋体" w:hAnsi="宋体" w:cs="宋体"/>
          <w:b/>
          <w:sz w:val="24"/>
        </w:rPr>
        <w:t>4、投标费用</w:t>
      </w:r>
    </w:p>
    <w:p>
      <w:pPr>
        <w:spacing w:line="500" w:lineRule="exact"/>
        <w:ind w:firstLine="480" w:firstLineChars="200"/>
        <w:rPr>
          <w:rFonts w:ascii="宋体" w:hAnsi="宋体" w:cs="宋体"/>
          <w:sz w:val="24"/>
        </w:rPr>
      </w:pPr>
      <w:r>
        <w:rPr>
          <w:rFonts w:hint="eastAsia" w:ascii="宋体" w:hAnsi="宋体" w:cs="宋体"/>
          <w:sz w:val="24"/>
        </w:rPr>
        <w:t>4.1 无论投标结果如何，投标人须自行承担所有与参加投标有关的全部费用,采购人和招标代理机构在任何情况下均无义务和责任承担这些费用。</w:t>
      </w:r>
    </w:p>
    <w:p>
      <w:pPr>
        <w:spacing w:line="500" w:lineRule="exact"/>
        <w:ind w:firstLine="480" w:firstLineChars="200"/>
        <w:rPr>
          <w:rFonts w:ascii="宋体" w:hAnsi="宋体" w:cs="宋体"/>
          <w:sz w:val="24"/>
        </w:rPr>
      </w:pPr>
    </w:p>
    <w:p>
      <w:pPr>
        <w:spacing w:line="500" w:lineRule="exact"/>
        <w:ind w:left="120" w:hanging="120"/>
        <w:jc w:val="center"/>
        <w:rPr>
          <w:rFonts w:ascii="宋体" w:hAnsi="宋体" w:cs="宋体"/>
          <w:b/>
          <w:sz w:val="24"/>
        </w:rPr>
      </w:pPr>
      <w:r>
        <w:rPr>
          <w:rFonts w:hint="eastAsia" w:ascii="宋体" w:hAnsi="宋体" w:cs="宋体"/>
          <w:b/>
          <w:sz w:val="24"/>
        </w:rPr>
        <w:t>二、招标文件</w:t>
      </w:r>
    </w:p>
    <w:p>
      <w:pPr>
        <w:spacing w:line="500" w:lineRule="exact"/>
        <w:ind w:firstLine="482" w:firstLineChars="200"/>
        <w:rPr>
          <w:rFonts w:ascii="宋体" w:hAnsi="宋体" w:cs="宋体"/>
          <w:b/>
          <w:sz w:val="24"/>
        </w:rPr>
      </w:pPr>
      <w:r>
        <w:rPr>
          <w:rFonts w:hint="eastAsia" w:ascii="宋体" w:hAnsi="宋体" w:cs="宋体"/>
          <w:b/>
          <w:sz w:val="24"/>
        </w:rPr>
        <w:t>5、招标文件</w:t>
      </w:r>
    </w:p>
    <w:p>
      <w:pPr>
        <w:spacing w:line="500" w:lineRule="exact"/>
        <w:ind w:firstLine="480" w:firstLineChars="200"/>
        <w:rPr>
          <w:rFonts w:ascii="宋体" w:hAnsi="宋体" w:cs="宋体"/>
          <w:sz w:val="24"/>
        </w:rPr>
      </w:pPr>
      <w:r>
        <w:rPr>
          <w:rFonts w:hint="eastAsia" w:ascii="宋体" w:hAnsi="宋体" w:cs="宋体"/>
          <w:sz w:val="24"/>
        </w:rPr>
        <w:t>5.1 招标文件用以阐明所招标的内容，招标投标程序及合同条款，包括：</w:t>
      </w:r>
    </w:p>
    <w:p>
      <w:pPr>
        <w:spacing w:line="500" w:lineRule="exact"/>
        <w:ind w:firstLine="480" w:firstLineChars="200"/>
        <w:rPr>
          <w:rFonts w:ascii="宋体" w:hAnsi="宋体" w:cs="宋体"/>
          <w:sz w:val="24"/>
        </w:rPr>
      </w:pPr>
      <w:r>
        <w:rPr>
          <w:rFonts w:hint="eastAsia" w:ascii="宋体" w:hAnsi="宋体" w:cs="宋体"/>
          <w:sz w:val="24"/>
        </w:rPr>
        <w:t>5.1.1 投标人须知前附表；</w:t>
      </w:r>
    </w:p>
    <w:p>
      <w:pPr>
        <w:spacing w:line="500" w:lineRule="exact"/>
        <w:ind w:firstLine="480" w:firstLineChars="200"/>
        <w:rPr>
          <w:rFonts w:ascii="宋体" w:hAnsi="宋体" w:cs="宋体"/>
          <w:sz w:val="24"/>
        </w:rPr>
      </w:pPr>
      <w:r>
        <w:rPr>
          <w:rFonts w:hint="eastAsia" w:ascii="宋体" w:hAnsi="宋体" w:cs="宋体"/>
          <w:sz w:val="24"/>
        </w:rPr>
        <w:t>5.1.2 招标书；</w:t>
      </w:r>
    </w:p>
    <w:p>
      <w:pPr>
        <w:spacing w:line="500" w:lineRule="exact"/>
        <w:ind w:firstLine="480" w:firstLineChars="200"/>
        <w:rPr>
          <w:rFonts w:ascii="宋体" w:hAnsi="宋体" w:cs="宋体"/>
          <w:sz w:val="24"/>
        </w:rPr>
      </w:pPr>
      <w:r>
        <w:rPr>
          <w:rFonts w:hint="eastAsia" w:ascii="宋体" w:hAnsi="宋体" w:cs="宋体"/>
          <w:sz w:val="24"/>
        </w:rPr>
        <w:t>5.1.3 投标人须知；</w:t>
      </w:r>
    </w:p>
    <w:p>
      <w:pPr>
        <w:spacing w:line="500" w:lineRule="exact"/>
        <w:ind w:firstLine="480" w:firstLineChars="200"/>
        <w:rPr>
          <w:rFonts w:ascii="宋体" w:hAnsi="宋体" w:cs="宋体"/>
          <w:sz w:val="24"/>
        </w:rPr>
      </w:pPr>
      <w:r>
        <w:rPr>
          <w:rFonts w:hint="eastAsia" w:ascii="宋体" w:hAnsi="宋体" w:cs="宋体"/>
          <w:sz w:val="24"/>
        </w:rPr>
        <w:t>5.1.4 技术要求；</w:t>
      </w:r>
    </w:p>
    <w:p>
      <w:pPr>
        <w:spacing w:line="500" w:lineRule="exact"/>
        <w:ind w:firstLine="480" w:firstLineChars="200"/>
        <w:rPr>
          <w:rFonts w:ascii="宋体" w:hAnsi="宋体" w:cs="宋体"/>
          <w:sz w:val="24"/>
        </w:rPr>
      </w:pPr>
      <w:r>
        <w:rPr>
          <w:rFonts w:hint="eastAsia" w:ascii="宋体" w:hAnsi="宋体" w:cs="宋体"/>
          <w:sz w:val="24"/>
        </w:rPr>
        <w:t>5.1.5合同；</w:t>
      </w:r>
    </w:p>
    <w:p>
      <w:pPr>
        <w:spacing w:line="500" w:lineRule="exact"/>
        <w:ind w:firstLine="480" w:firstLineChars="200"/>
        <w:rPr>
          <w:rFonts w:ascii="宋体" w:hAnsi="宋体" w:cs="宋体"/>
          <w:sz w:val="24"/>
        </w:rPr>
      </w:pPr>
      <w:r>
        <w:rPr>
          <w:rFonts w:hint="eastAsia" w:ascii="宋体" w:hAnsi="宋体" w:cs="宋体"/>
          <w:sz w:val="24"/>
        </w:rPr>
        <w:t>5.16 投标文件格式。</w:t>
      </w:r>
    </w:p>
    <w:p>
      <w:pPr>
        <w:spacing w:line="500" w:lineRule="exact"/>
        <w:ind w:firstLine="480" w:firstLineChars="200"/>
        <w:rPr>
          <w:rFonts w:ascii="宋体" w:hAnsi="宋体" w:cs="宋体"/>
          <w:sz w:val="24"/>
        </w:rPr>
      </w:pPr>
      <w:r>
        <w:rPr>
          <w:rFonts w:hint="eastAsia" w:ascii="宋体" w:hAnsi="宋体" w:cs="宋体"/>
          <w:sz w:val="24"/>
        </w:rPr>
        <w:t>5.2投标人应仔细阅读招标文件中的所有内容。招标机构将拒绝未按招标文件的要求提供全部资料或提交的投标文件未对招标文件作出实质性响应的投标。</w:t>
      </w:r>
    </w:p>
    <w:p>
      <w:pPr>
        <w:spacing w:line="500" w:lineRule="exact"/>
        <w:ind w:firstLine="482" w:firstLineChars="200"/>
        <w:rPr>
          <w:rFonts w:ascii="宋体" w:hAnsi="宋体" w:cs="宋体"/>
          <w:b/>
          <w:sz w:val="24"/>
        </w:rPr>
      </w:pPr>
      <w:r>
        <w:rPr>
          <w:rFonts w:hint="eastAsia" w:ascii="宋体" w:hAnsi="宋体" w:cs="宋体"/>
          <w:b/>
          <w:sz w:val="24"/>
        </w:rPr>
        <w:t>6、招标文件的澄清</w:t>
      </w:r>
    </w:p>
    <w:p>
      <w:pPr>
        <w:spacing w:line="500" w:lineRule="exact"/>
        <w:ind w:firstLine="480" w:firstLineChars="200"/>
        <w:rPr>
          <w:rFonts w:ascii="宋体" w:hAnsi="宋体" w:cs="宋体"/>
          <w:sz w:val="24"/>
        </w:rPr>
      </w:pPr>
      <w:r>
        <w:rPr>
          <w:rFonts w:hint="eastAsia" w:ascii="宋体" w:hAnsi="宋体" w:cs="宋体"/>
          <w:sz w:val="24"/>
        </w:rPr>
        <w:t>6.1 任何要求澄清招标文件的投标人，均应在投标截止日期五天前以书面形式或传真、电报通知招标机构。招标机构将以书面形式予以答复，同时将书面通知每个购买招标文件的投标人。</w:t>
      </w:r>
    </w:p>
    <w:p>
      <w:pPr>
        <w:spacing w:line="500" w:lineRule="exact"/>
        <w:ind w:firstLine="482" w:firstLineChars="200"/>
        <w:rPr>
          <w:rFonts w:ascii="宋体" w:hAnsi="宋体" w:cs="宋体"/>
          <w:b/>
          <w:sz w:val="24"/>
        </w:rPr>
      </w:pPr>
      <w:r>
        <w:rPr>
          <w:rFonts w:hint="eastAsia" w:ascii="宋体" w:hAnsi="宋体" w:cs="宋体"/>
          <w:b/>
          <w:sz w:val="24"/>
        </w:rPr>
        <w:t>7、招标文件的修改</w:t>
      </w:r>
    </w:p>
    <w:p>
      <w:pPr>
        <w:spacing w:line="500" w:lineRule="exact"/>
        <w:ind w:firstLine="480" w:firstLineChars="200"/>
        <w:rPr>
          <w:rFonts w:ascii="宋体" w:hAnsi="宋体" w:cs="宋体"/>
          <w:sz w:val="24"/>
        </w:rPr>
      </w:pPr>
      <w:r>
        <w:rPr>
          <w:rFonts w:hint="eastAsia" w:ascii="宋体" w:hAnsi="宋体" w:cs="宋体"/>
          <w:sz w:val="24"/>
        </w:rPr>
        <w:t>7.1 在投标截止时间3天以前，招标人都可能以《招标文件补充》的方式修改招标文件。并将以书面形式通知所有购买招标文件的投标人，</w:t>
      </w:r>
    </w:p>
    <w:p>
      <w:pPr>
        <w:spacing w:line="500" w:lineRule="exact"/>
        <w:ind w:firstLine="480" w:firstLineChars="200"/>
        <w:rPr>
          <w:rFonts w:ascii="宋体" w:hAnsi="宋体" w:cs="宋体"/>
          <w:sz w:val="24"/>
        </w:rPr>
      </w:pPr>
      <w:r>
        <w:rPr>
          <w:rFonts w:hint="eastAsia" w:ascii="宋体" w:hAnsi="宋体" w:cs="宋体"/>
          <w:sz w:val="24"/>
        </w:rPr>
        <w:t>7.2 《招标文件补充》作为招标文件的组成部分，对投标人具有同等约束力。如果招标文件补充内容与在此招标文件补充发出之前的招标文件等书面材料中相关内容相冲突，请投标人执行招标文件补充的相关内容，先前发出的招标文件等书面材料中相关内容自动废止。</w:t>
      </w:r>
    </w:p>
    <w:p>
      <w:pPr>
        <w:spacing w:line="500" w:lineRule="exact"/>
        <w:ind w:firstLine="480" w:firstLineChars="200"/>
        <w:rPr>
          <w:rFonts w:ascii="宋体" w:hAnsi="宋体" w:cs="宋体"/>
          <w:sz w:val="24"/>
        </w:rPr>
      </w:pPr>
      <w:r>
        <w:rPr>
          <w:rFonts w:hint="eastAsia" w:ascii="宋体" w:hAnsi="宋体" w:cs="宋体"/>
          <w:sz w:val="24"/>
        </w:rPr>
        <w:t>7.3 为使投标人在编制投标文件时把《招标文件补充》内容考虑进去，招标人可以相应延长投标截止日期，具体时间将在《招标文件补充》中写明。</w:t>
      </w:r>
    </w:p>
    <w:p>
      <w:pPr>
        <w:spacing w:line="500" w:lineRule="exact"/>
        <w:ind w:left="120" w:hanging="120"/>
        <w:jc w:val="center"/>
        <w:rPr>
          <w:rFonts w:ascii="宋体" w:hAnsi="宋体" w:cs="宋体"/>
          <w:b/>
          <w:sz w:val="24"/>
        </w:rPr>
      </w:pPr>
    </w:p>
    <w:p>
      <w:pPr>
        <w:numPr>
          <w:ilvl w:val="0"/>
          <w:numId w:val="5"/>
        </w:numPr>
        <w:spacing w:line="500" w:lineRule="exact"/>
        <w:ind w:left="120" w:hanging="120"/>
        <w:jc w:val="center"/>
        <w:rPr>
          <w:rFonts w:ascii="宋体" w:hAnsi="宋体" w:cs="宋体"/>
          <w:b/>
          <w:sz w:val="24"/>
        </w:rPr>
      </w:pPr>
      <w:r>
        <w:rPr>
          <w:rFonts w:hint="eastAsia" w:ascii="宋体" w:hAnsi="宋体" w:cs="宋体"/>
          <w:b/>
          <w:sz w:val="24"/>
        </w:rPr>
        <w:t>投标文件的编制</w:t>
      </w:r>
    </w:p>
    <w:p>
      <w:pPr>
        <w:spacing w:line="500" w:lineRule="exact"/>
        <w:ind w:left="120" w:hanging="120"/>
        <w:rPr>
          <w:rFonts w:ascii="宋体" w:hAnsi="宋体" w:cs="宋体"/>
          <w:b/>
          <w:sz w:val="24"/>
        </w:rPr>
      </w:pPr>
    </w:p>
    <w:p>
      <w:pPr>
        <w:spacing w:line="500" w:lineRule="exact"/>
        <w:ind w:firstLine="482" w:firstLineChars="200"/>
        <w:rPr>
          <w:rFonts w:ascii="宋体" w:hAnsi="宋体" w:cs="宋体"/>
          <w:b/>
          <w:sz w:val="24"/>
        </w:rPr>
      </w:pPr>
      <w:r>
        <w:rPr>
          <w:rFonts w:hint="eastAsia" w:ascii="宋体" w:hAnsi="宋体" w:cs="宋体"/>
          <w:b/>
          <w:sz w:val="24"/>
        </w:rPr>
        <w:t>8、 投标文件的编写</w:t>
      </w:r>
    </w:p>
    <w:p>
      <w:pPr>
        <w:widowControl/>
        <w:spacing w:line="500" w:lineRule="exact"/>
        <w:ind w:left="120" w:hanging="120"/>
        <w:rPr>
          <w:rFonts w:ascii="宋体" w:hAnsi="宋体" w:cs="宋体"/>
          <w:b/>
          <w:color w:val="FF00FF"/>
          <w:sz w:val="24"/>
          <w:shd w:val="pct10" w:color="auto" w:fill="FFFFFF"/>
        </w:rPr>
      </w:pPr>
      <w:r>
        <w:rPr>
          <w:rFonts w:hint="eastAsia" w:ascii="宋体" w:hAnsi="宋体" w:cs="宋体"/>
          <w:sz w:val="24"/>
        </w:rPr>
        <w:t xml:space="preserve">    8.1 投标人应仔细阅读招标文件，了解招标文件的要求。在充分理解招标文件提出的技术要求、服务和商务条件后，编制投标文件。</w:t>
      </w:r>
    </w:p>
    <w:p>
      <w:pPr>
        <w:spacing w:line="500" w:lineRule="exact"/>
        <w:ind w:firstLine="482" w:firstLineChars="200"/>
        <w:rPr>
          <w:rFonts w:ascii="宋体" w:hAnsi="宋体" w:cs="宋体"/>
          <w:b/>
          <w:sz w:val="24"/>
        </w:rPr>
      </w:pPr>
      <w:r>
        <w:rPr>
          <w:rFonts w:hint="eastAsia" w:ascii="宋体" w:hAnsi="宋体" w:cs="宋体"/>
          <w:b/>
          <w:sz w:val="24"/>
        </w:rPr>
        <w:t>9、投标的语言</w:t>
      </w:r>
    </w:p>
    <w:p>
      <w:pPr>
        <w:spacing w:line="500" w:lineRule="exact"/>
        <w:ind w:left="120" w:hanging="120"/>
        <w:rPr>
          <w:rFonts w:ascii="宋体" w:hAnsi="宋体" w:cs="宋体"/>
          <w:sz w:val="24"/>
        </w:rPr>
      </w:pPr>
      <w:r>
        <w:rPr>
          <w:rFonts w:hint="eastAsia" w:ascii="宋体" w:hAnsi="宋体" w:cs="宋体"/>
          <w:sz w:val="24"/>
        </w:rPr>
        <w:t xml:space="preserve">    9.1 投标人的投标文件以及投标人与招标机构就有关招标活动的所有来往函电均应使用中文。如果投标文件或与投标有关的其它文件、信件及来往函电以其他语言书写，投标人应将其译成中文。</w:t>
      </w:r>
    </w:p>
    <w:p>
      <w:pPr>
        <w:spacing w:line="500" w:lineRule="exact"/>
        <w:ind w:left="120" w:hanging="120"/>
        <w:rPr>
          <w:rFonts w:ascii="宋体" w:hAnsi="宋体" w:cs="宋体"/>
          <w:sz w:val="24"/>
        </w:rPr>
      </w:pPr>
      <w:r>
        <w:rPr>
          <w:rFonts w:hint="eastAsia" w:ascii="宋体" w:hAnsi="宋体" w:cs="宋体"/>
          <w:sz w:val="24"/>
        </w:rPr>
        <w:t xml:space="preserve">    9.2投标文件中使用的计量单位除招标文件中有特殊规定外，一律使用法定计量单位。</w:t>
      </w:r>
    </w:p>
    <w:p>
      <w:pPr>
        <w:spacing w:line="500" w:lineRule="exact"/>
        <w:ind w:left="120" w:hanging="120"/>
        <w:rPr>
          <w:rFonts w:ascii="宋体" w:hAnsi="宋体" w:cs="宋体"/>
          <w:b/>
          <w:bCs/>
          <w:sz w:val="24"/>
        </w:rPr>
      </w:pPr>
      <w:r>
        <w:rPr>
          <w:rFonts w:hint="eastAsia" w:ascii="宋体" w:hAnsi="宋体" w:cs="宋体"/>
          <w:b/>
          <w:bCs/>
          <w:sz w:val="24"/>
        </w:rPr>
        <w:t xml:space="preserve">    10、投标文件的格式</w:t>
      </w:r>
    </w:p>
    <w:p>
      <w:pPr>
        <w:spacing w:line="500" w:lineRule="exact"/>
        <w:ind w:left="120" w:hanging="120"/>
        <w:rPr>
          <w:rFonts w:ascii="宋体" w:hAnsi="宋体" w:cs="宋体"/>
          <w:sz w:val="24"/>
        </w:rPr>
      </w:pPr>
      <w:r>
        <w:rPr>
          <w:rFonts w:hint="eastAsia" w:ascii="宋体" w:hAnsi="宋体" w:cs="宋体"/>
          <w:sz w:val="24"/>
        </w:rPr>
        <w:t xml:space="preserve">    10.1投标人应按招标文件提供的格式及投标报价说明完整地填写所提供的产品、服务、数量及价格。</w:t>
      </w:r>
    </w:p>
    <w:p>
      <w:pPr>
        <w:spacing w:line="500" w:lineRule="exact"/>
        <w:ind w:left="120" w:hanging="120"/>
        <w:rPr>
          <w:rFonts w:ascii="宋体" w:hAnsi="宋体" w:cs="宋体"/>
          <w:sz w:val="24"/>
        </w:rPr>
      </w:pPr>
      <w:r>
        <w:rPr>
          <w:rFonts w:hint="eastAsia" w:ascii="宋体" w:hAnsi="宋体" w:cs="宋体"/>
          <w:sz w:val="24"/>
        </w:rPr>
        <w:t xml:space="preserve">    10.2如投标人认为需要对招标文件的有关内容做详细的阐述而招标文件中提供的投标文件格式又不能满足，投标人可以在投标文件相关格式后另行添加表格或文字，对招标文件的有关内容做详细的阐述。但阐述的内容不能偏离招标文件的实质性内容，且应完整、表达清晰、准确。如果阐述的内容偏离了招标文件的实质性内容，投标文件按废标处理。</w:t>
      </w:r>
    </w:p>
    <w:p>
      <w:pPr>
        <w:spacing w:line="500" w:lineRule="exact"/>
        <w:ind w:left="120" w:hanging="120"/>
        <w:rPr>
          <w:rFonts w:ascii="宋体" w:hAnsi="宋体" w:cs="宋体"/>
          <w:b/>
          <w:color w:val="000000"/>
          <w:sz w:val="24"/>
        </w:rPr>
      </w:pPr>
      <w:r>
        <w:rPr>
          <w:rFonts w:hint="eastAsia" w:ascii="宋体" w:hAnsi="宋体" w:cs="宋体"/>
          <w:b/>
          <w:sz w:val="24"/>
        </w:rPr>
        <w:t xml:space="preserve">    11、投标文件的组成和顺序:投标文件由经济报价部分、商务部分、工作方案三部分组成，合装成一本标书（胶装）。</w:t>
      </w:r>
      <w:r>
        <w:rPr>
          <w:rFonts w:hint="eastAsia" w:ascii="宋体" w:hAnsi="宋体" w:cs="宋体"/>
          <w:b/>
          <w:color w:val="000000"/>
          <w:sz w:val="24"/>
        </w:rPr>
        <w:t>报价一览表需按招标文件提供的格式填写，统一规范，不得自行增减内容，并单独提供且与投标文件中提供的一致，并按招标文件要求密封。</w:t>
      </w:r>
    </w:p>
    <w:p>
      <w:pPr>
        <w:spacing w:line="500" w:lineRule="exact"/>
        <w:ind w:firstLine="480" w:firstLineChars="200"/>
        <w:rPr>
          <w:rFonts w:ascii="宋体" w:hAnsi="宋体" w:cs="宋体"/>
          <w:b/>
          <w:sz w:val="24"/>
        </w:rPr>
      </w:pPr>
      <w:r>
        <w:rPr>
          <w:rFonts w:hint="eastAsia" w:ascii="宋体" w:hAnsi="宋体" w:cs="宋体"/>
          <w:sz w:val="24"/>
        </w:rPr>
        <w:t>11.1</w:t>
      </w:r>
      <w:r>
        <w:rPr>
          <w:rFonts w:hint="eastAsia" w:ascii="宋体" w:hAnsi="宋体" w:cs="宋体"/>
          <w:b/>
          <w:sz w:val="24"/>
        </w:rPr>
        <w:t>经济报价部分：</w:t>
      </w:r>
    </w:p>
    <w:p>
      <w:pPr>
        <w:spacing w:line="500" w:lineRule="exact"/>
        <w:ind w:left="120" w:hanging="120"/>
        <w:rPr>
          <w:rFonts w:ascii="宋体" w:hAnsi="宋体" w:cs="宋体"/>
          <w:sz w:val="24"/>
        </w:rPr>
      </w:pPr>
      <w:r>
        <w:rPr>
          <w:rFonts w:hint="eastAsia" w:ascii="宋体" w:hAnsi="宋体" w:cs="宋体"/>
          <w:sz w:val="24"/>
        </w:rPr>
        <w:t xml:space="preserve">    11.1.1投标承诺书（一）、（二）；</w:t>
      </w:r>
    </w:p>
    <w:p>
      <w:pPr>
        <w:spacing w:line="500" w:lineRule="exact"/>
        <w:ind w:left="120" w:hanging="120"/>
        <w:rPr>
          <w:rFonts w:ascii="宋体" w:hAnsi="宋体" w:cs="宋体"/>
          <w:sz w:val="24"/>
        </w:rPr>
      </w:pPr>
      <w:r>
        <w:rPr>
          <w:rFonts w:hint="eastAsia" w:ascii="宋体" w:hAnsi="宋体" w:cs="宋体"/>
          <w:b/>
          <w:color w:val="FF0000"/>
          <w:sz w:val="24"/>
        </w:rPr>
        <w:t xml:space="preserve">   </w:t>
      </w:r>
      <w:r>
        <w:rPr>
          <w:rFonts w:hint="eastAsia" w:ascii="宋体" w:hAnsi="宋体" w:cs="宋体"/>
          <w:sz w:val="24"/>
        </w:rPr>
        <w:t xml:space="preserve"> 11.1.2报价一览表；</w:t>
      </w:r>
    </w:p>
    <w:p>
      <w:pPr>
        <w:spacing w:line="500" w:lineRule="exact"/>
        <w:ind w:firstLine="236" w:firstLineChars="98"/>
        <w:rPr>
          <w:rFonts w:ascii="宋体" w:hAnsi="宋体" w:cs="宋体"/>
          <w:b/>
          <w:sz w:val="24"/>
        </w:rPr>
      </w:pPr>
      <w:r>
        <w:rPr>
          <w:rFonts w:hint="eastAsia" w:ascii="宋体" w:hAnsi="宋体" w:cs="宋体"/>
          <w:b/>
          <w:sz w:val="24"/>
        </w:rPr>
        <w:t xml:space="preserve">  11.2商务部分：</w:t>
      </w:r>
    </w:p>
    <w:p>
      <w:pPr>
        <w:spacing w:line="480" w:lineRule="exact"/>
        <w:ind w:left="120" w:hanging="120"/>
        <w:rPr>
          <w:rFonts w:ascii="宋体" w:hAnsi="宋体" w:cs="宋体"/>
          <w:color w:val="000000"/>
          <w:sz w:val="24"/>
        </w:rPr>
      </w:pPr>
      <w:r>
        <w:rPr>
          <w:rFonts w:hint="eastAsia" w:ascii="宋体" w:hAnsi="宋体" w:cs="宋体"/>
          <w:b/>
          <w:sz w:val="24"/>
        </w:rPr>
        <w:t xml:space="preserve">    </w:t>
      </w:r>
      <w:r>
        <w:rPr>
          <w:rFonts w:hint="eastAsia" w:ascii="宋体" w:hAnsi="宋体" w:cs="宋体"/>
          <w:color w:val="000000"/>
          <w:sz w:val="24"/>
        </w:rPr>
        <w:t>11.2.1投标方的资格声明（格式见附件）；</w:t>
      </w:r>
    </w:p>
    <w:p>
      <w:pPr>
        <w:spacing w:line="480" w:lineRule="exact"/>
        <w:ind w:firstLine="480" w:firstLineChars="200"/>
        <w:rPr>
          <w:rFonts w:ascii="宋体" w:hAnsi="宋体" w:cs="宋体"/>
          <w:sz w:val="24"/>
        </w:rPr>
      </w:pPr>
      <w:r>
        <w:rPr>
          <w:rFonts w:hint="eastAsia" w:ascii="宋体" w:hAnsi="宋体" w:cs="宋体"/>
          <w:color w:val="000000"/>
          <w:sz w:val="24"/>
        </w:rPr>
        <w:t>11.2.2 投标单位基本情况表（格式见附件）</w:t>
      </w:r>
      <w:r>
        <w:rPr>
          <w:rFonts w:hint="eastAsia" w:ascii="宋体" w:hAnsi="宋体" w:cs="宋体"/>
          <w:sz w:val="24"/>
        </w:rPr>
        <w:t>；</w:t>
      </w:r>
    </w:p>
    <w:p>
      <w:pPr>
        <w:spacing w:line="480" w:lineRule="exact"/>
        <w:ind w:firstLine="480" w:firstLineChars="200"/>
        <w:rPr>
          <w:rFonts w:ascii="宋体" w:hAnsi="宋体" w:cs="宋体"/>
          <w:sz w:val="24"/>
        </w:rPr>
      </w:pPr>
      <w:r>
        <w:rPr>
          <w:rFonts w:hint="eastAsia" w:ascii="宋体" w:hAnsi="宋体" w:cs="宋体"/>
          <w:sz w:val="24"/>
        </w:rPr>
        <w:t>11.2.3出具法人营业执照函（格式见附件）；</w:t>
      </w:r>
    </w:p>
    <w:p>
      <w:pPr>
        <w:spacing w:line="480" w:lineRule="exact"/>
        <w:ind w:firstLine="480" w:firstLineChars="200"/>
        <w:rPr>
          <w:rFonts w:ascii="宋体" w:hAnsi="宋体" w:cs="宋体"/>
          <w:sz w:val="24"/>
        </w:rPr>
      </w:pPr>
      <w:r>
        <w:rPr>
          <w:rFonts w:hint="eastAsia" w:ascii="宋体" w:hAnsi="宋体" w:cs="宋体"/>
          <w:sz w:val="24"/>
        </w:rPr>
        <w:t>11.2.4法定代表人证明书（格式见附件）；</w:t>
      </w:r>
    </w:p>
    <w:p>
      <w:pPr>
        <w:spacing w:line="480" w:lineRule="exact"/>
        <w:ind w:left="120" w:hanging="120"/>
        <w:rPr>
          <w:rFonts w:ascii="宋体" w:hAnsi="宋体" w:cs="宋体"/>
          <w:sz w:val="24"/>
        </w:rPr>
      </w:pPr>
      <w:r>
        <w:rPr>
          <w:rFonts w:hint="eastAsia" w:ascii="宋体" w:hAnsi="宋体" w:cs="宋体"/>
          <w:sz w:val="24"/>
        </w:rPr>
        <w:t xml:space="preserve">    11.2.5法定代表人授权委托书及投标人被授权人身份证复印件</w:t>
      </w:r>
      <w:r>
        <w:rPr>
          <w:rFonts w:hint="eastAsia" w:ascii="宋体" w:hAnsi="宋体" w:cs="宋体"/>
          <w:sz w:val="24"/>
          <w:lang w:eastAsia="zh-CN"/>
        </w:rPr>
        <w:t>，被授权委托人在本单位缴纳的近</w:t>
      </w:r>
      <w:r>
        <w:rPr>
          <w:rFonts w:hint="eastAsia" w:ascii="宋体" w:hAnsi="宋体" w:cs="宋体"/>
          <w:sz w:val="24"/>
          <w:lang w:val="en-US" w:eastAsia="zh-CN"/>
        </w:rPr>
        <w:t>六</w:t>
      </w:r>
      <w:r>
        <w:rPr>
          <w:rFonts w:hint="eastAsia" w:ascii="宋体" w:hAnsi="宋体" w:cs="宋体"/>
          <w:sz w:val="24"/>
          <w:lang w:eastAsia="zh-CN"/>
        </w:rPr>
        <w:t>个月内社保证明（社保缴费凭证原件和个人明细表）</w:t>
      </w:r>
      <w:r>
        <w:rPr>
          <w:rFonts w:hint="eastAsia" w:ascii="宋体" w:hAnsi="宋体" w:cs="宋体"/>
          <w:sz w:val="24"/>
        </w:rPr>
        <w:t>（如有授权，法人参加提供身份证原件及复印件）（格式见附件）；</w:t>
      </w:r>
    </w:p>
    <w:p>
      <w:pPr>
        <w:widowControl/>
        <w:spacing w:line="480" w:lineRule="exact"/>
        <w:ind w:firstLine="480" w:firstLineChars="200"/>
        <w:rPr>
          <w:rFonts w:ascii="宋体" w:hAnsi="宋体" w:cs="宋体"/>
          <w:sz w:val="24"/>
        </w:rPr>
      </w:pPr>
      <w:r>
        <w:rPr>
          <w:rFonts w:hint="eastAsia" w:ascii="宋体" w:hAnsi="宋体" w:cs="宋体"/>
          <w:sz w:val="24"/>
        </w:rPr>
        <w:t>11.2.6近三年企业类似业绩表及证明（提供合同）（格式见附件）；</w:t>
      </w:r>
    </w:p>
    <w:p>
      <w:pPr>
        <w:spacing w:line="480" w:lineRule="exact"/>
        <w:ind w:left="120" w:hanging="120"/>
        <w:rPr>
          <w:rFonts w:ascii="宋体" w:hAnsi="宋体" w:cs="宋体"/>
          <w:sz w:val="24"/>
        </w:rPr>
      </w:pPr>
      <w:r>
        <w:rPr>
          <w:rFonts w:hint="eastAsia" w:ascii="宋体" w:hAnsi="宋体" w:cs="宋体"/>
          <w:sz w:val="24"/>
        </w:rPr>
        <w:t xml:space="preserve">    11.2.7项目负责人简历及业绩表（格式见附件）</w:t>
      </w:r>
    </w:p>
    <w:p>
      <w:pPr>
        <w:spacing w:line="480" w:lineRule="exact"/>
        <w:ind w:left="120" w:hanging="120"/>
        <w:rPr>
          <w:rFonts w:ascii="宋体" w:hAnsi="宋体" w:cs="宋体"/>
          <w:sz w:val="24"/>
        </w:rPr>
      </w:pPr>
      <w:r>
        <w:rPr>
          <w:rFonts w:hint="eastAsia" w:ascii="宋体" w:hAnsi="宋体" w:cs="宋体"/>
          <w:sz w:val="24"/>
        </w:rPr>
        <w:t xml:space="preserve">    11.2.8拟投入本项目人员情况及业绩表（格式见附件）；</w:t>
      </w:r>
    </w:p>
    <w:p>
      <w:pPr>
        <w:spacing w:line="480" w:lineRule="exact"/>
        <w:ind w:firstLine="480" w:firstLineChars="200"/>
        <w:rPr>
          <w:rFonts w:ascii="宋体" w:hAnsi="宋体" w:cs="宋体"/>
          <w:sz w:val="24"/>
        </w:rPr>
      </w:pPr>
      <w:r>
        <w:rPr>
          <w:rFonts w:hint="eastAsia" w:ascii="宋体" w:hAnsi="宋体" w:cs="宋体"/>
          <w:sz w:val="24"/>
        </w:rPr>
        <w:t>11.2.9商务偏离表（格式见附件）；</w:t>
      </w:r>
    </w:p>
    <w:p>
      <w:pPr>
        <w:spacing w:line="480" w:lineRule="exact"/>
        <w:ind w:firstLine="480" w:firstLineChars="200"/>
        <w:rPr>
          <w:rFonts w:ascii="宋体" w:hAnsi="宋体" w:cs="宋体"/>
          <w:color w:val="000000"/>
          <w:sz w:val="24"/>
        </w:rPr>
      </w:pPr>
      <w:r>
        <w:rPr>
          <w:rFonts w:hint="eastAsia" w:ascii="宋体" w:hAnsi="宋体" w:cs="宋体"/>
          <w:color w:val="000000"/>
          <w:sz w:val="24"/>
        </w:rPr>
        <w:t>11.2.10供应商反商业贿赂承诺书（格式见附件）；</w:t>
      </w:r>
    </w:p>
    <w:p>
      <w:pPr>
        <w:spacing w:line="480" w:lineRule="exact"/>
        <w:ind w:firstLine="480" w:firstLineChars="200"/>
        <w:rPr>
          <w:rFonts w:hint="eastAsia" w:ascii="宋体" w:hAnsi="宋体" w:cs="宋体"/>
          <w:color w:val="000000"/>
          <w:sz w:val="24"/>
        </w:rPr>
      </w:pPr>
      <w:r>
        <w:rPr>
          <w:rFonts w:hint="eastAsia" w:ascii="宋体" w:hAnsi="宋体" w:cs="宋体"/>
          <w:color w:val="000000"/>
          <w:sz w:val="24"/>
        </w:rPr>
        <w:t>11.2.11服务承诺书</w:t>
      </w:r>
    </w:p>
    <w:p>
      <w:pPr>
        <w:pStyle w:val="2"/>
        <w:ind w:firstLine="480" w:firstLineChars="200"/>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11.2.12</w:t>
      </w:r>
      <w:r>
        <w:rPr>
          <w:rFonts w:hint="eastAsia" w:ascii="宋体" w:hAnsi="宋体" w:eastAsia="宋体" w:cs="宋体"/>
          <w:color w:val="000000"/>
          <w:kern w:val="2"/>
          <w:sz w:val="24"/>
          <w:szCs w:val="24"/>
          <w:lang w:val="en-US" w:eastAsia="zh-CN" w:bidi="ar-SA"/>
        </w:rPr>
        <w:t>中小企业声明函（符合本声明函填写）</w:t>
      </w:r>
    </w:p>
    <w:p>
      <w:pPr>
        <w:spacing w:line="480" w:lineRule="exact"/>
        <w:ind w:firstLine="480" w:firstLineChars="200"/>
        <w:rPr>
          <w:rFonts w:ascii="宋体" w:hAnsi="宋体" w:cs="宋体"/>
          <w:color w:val="000000"/>
          <w:sz w:val="24"/>
        </w:rPr>
      </w:pPr>
      <w:r>
        <w:rPr>
          <w:rFonts w:hint="eastAsia" w:ascii="宋体" w:hAnsi="宋体" w:cs="宋体"/>
          <w:color w:val="000000"/>
          <w:sz w:val="24"/>
        </w:rPr>
        <w:t>11.2.1</w:t>
      </w:r>
      <w:r>
        <w:rPr>
          <w:rFonts w:hint="eastAsia" w:ascii="宋体" w:hAnsi="宋体" w:cs="宋体"/>
          <w:color w:val="000000"/>
          <w:sz w:val="24"/>
          <w:lang w:val="en-US" w:eastAsia="zh-CN"/>
        </w:rPr>
        <w:t>3</w:t>
      </w:r>
      <w:r>
        <w:rPr>
          <w:rFonts w:hint="eastAsia" w:ascii="宋体" w:hAnsi="宋体" w:cs="宋体"/>
          <w:color w:val="000000"/>
          <w:sz w:val="24"/>
        </w:rPr>
        <w:t>通过国家或国际认证资格证书（如有，提供复印件）；</w:t>
      </w:r>
    </w:p>
    <w:p>
      <w:pPr>
        <w:spacing w:line="480" w:lineRule="exact"/>
        <w:ind w:firstLine="480" w:firstLineChars="200"/>
        <w:rPr>
          <w:rFonts w:ascii="宋体" w:hAnsi="宋体" w:cs="宋体"/>
          <w:color w:val="000000"/>
          <w:sz w:val="24"/>
        </w:rPr>
      </w:pPr>
      <w:r>
        <w:rPr>
          <w:rFonts w:hint="eastAsia" w:ascii="宋体" w:hAnsi="宋体" w:cs="宋体"/>
          <w:color w:val="000000"/>
          <w:sz w:val="24"/>
        </w:rPr>
        <w:t>11.2.1</w:t>
      </w:r>
      <w:r>
        <w:rPr>
          <w:rFonts w:hint="eastAsia" w:ascii="宋体" w:hAnsi="宋体" w:cs="宋体"/>
          <w:color w:val="000000"/>
          <w:sz w:val="24"/>
          <w:lang w:val="en-US" w:eastAsia="zh-CN"/>
        </w:rPr>
        <w:t>4</w:t>
      </w:r>
      <w:r>
        <w:rPr>
          <w:rFonts w:hint="eastAsia" w:ascii="宋体" w:hAnsi="宋体" w:cs="宋体"/>
          <w:color w:val="000000"/>
          <w:sz w:val="24"/>
        </w:rPr>
        <w:t>投标保证金转账凭证；</w:t>
      </w:r>
    </w:p>
    <w:p>
      <w:pPr>
        <w:spacing w:line="480" w:lineRule="exact"/>
        <w:ind w:firstLine="480" w:firstLineChars="200"/>
        <w:rPr>
          <w:rFonts w:hint="eastAsia" w:ascii="宋体" w:hAnsi="宋体" w:cs="宋体"/>
          <w:color w:val="000000"/>
          <w:sz w:val="24"/>
          <w:lang w:val="en-US" w:eastAsia="zh-CN"/>
        </w:rPr>
      </w:pPr>
      <w:r>
        <w:rPr>
          <w:rFonts w:hint="eastAsia" w:ascii="宋体" w:hAnsi="宋体" w:cs="宋体"/>
          <w:color w:val="000000"/>
          <w:sz w:val="24"/>
        </w:rPr>
        <w:t>11.2.1</w:t>
      </w:r>
      <w:r>
        <w:rPr>
          <w:rFonts w:hint="eastAsia" w:ascii="宋体" w:hAnsi="宋体" w:cs="宋体"/>
          <w:color w:val="000000"/>
          <w:sz w:val="24"/>
          <w:lang w:val="en-US" w:eastAsia="zh-CN"/>
        </w:rPr>
        <w:t>5具有良好的商业信誉和健全的财务会计制度（提供2019年度财务审计报告）；</w:t>
      </w:r>
    </w:p>
    <w:p>
      <w:pPr>
        <w:spacing w:line="480" w:lineRule="exact"/>
        <w:ind w:firstLine="480" w:firstLineChars="200"/>
        <w:rPr>
          <w:rFonts w:ascii="宋体" w:hAnsi="宋体" w:cs="宋体"/>
          <w:color w:val="000000"/>
          <w:sz w:val="24"/>
        </w:rPr>
      </w:pPr>
      <w:r>
        <w:rPr>
          <w:rFonts w:hint="eastAsia" w:ascii="宋体" w:hAnsi="宋体" w:cs="宋体"/>
          <w:color w:val="000000"/>
          <w:sz w:val="24"/>
        </w:rPr>
        <w:t>11.2.1</w:t>
      </w:r>
      <w:r>
        <w:rPr>
          <w:rFonts w:hint="eastAsia" w:ascii="宋体" w:hAnsi="宋体" w:cs="宋体"/>
          <w:color w:val="000000"/>
          <w:sz w:val="24"/>
          <w:lang w:val="en-US" w:eastAsia="zh-CN"/>
        </w:rPr>
        <w:t>6</w:t>
      </w:r>
      <w:r>
        <w:rPr>
          <w:rFonts w:hint="eastAsia" w:ascii="宋体" w:hAnsi="宋体" w:cs="宋体"/>
          <w:color w:val="000000"/>
          <w:sz w:val="24"/>
        </w:rPr>
        <w:t>投标人认为有必要提供的声明及文件资料。</w:t>
      </w:r>
    </w:p>
    <w:p>
      <w:pPr>
        <w:spacing w:line="480" w:lineRule="exact"/>
        <w:ind w:left="120" w:hanging="120"/>
        <w:rPr>
          <w:rFonts w:ascii="宋体" w:hAnsi="宋体" w:cs="宋体"/>
          <w:color w:val="0000FF"/>
          <w:sz w:val="24"/>
        </w:rPr>
      </w:pPr>
      <w:r>
        <w:rPr>
          <w:rFonts w:hint="eastAsia" w:ascii="宋体" w:hAnsi="宋体" w:cs="宋体"/>
          <w:b/>
          <w:bCs/>
          <w:sz w:val="24"/>
        </w:rPr>
        <w:t xml:space="preserve">    第三部分：项目实施方案（具体详见投标文件格式要求）</w:t>
      </w:r>
    </w:p>
    <w:p>
      <w:pPr>
        <w:spacing w:line="480" w:lineRule="exact"/>
        <w:ind w:firstLine="482" w:firstLineChars="200"/>
        <w:rPr>
          <w:rFonts w:ascii="宋体" w:hAnsi="宋体" w:cs="宋体"/>
          <w:b/>
          <w:bCs/>
          <w:color w:val="000000"/>
          <w:sz w:val="24"/>
        </w:rPr>
      </w:pPr>
      <w:r>
        <w:rPr>
          <w:rFonts w:hint="eastAsia" w:ascii="宋体" w:hAnsi="宋体" w:cs="宋体"/>
          <w:b/>
          <w:bCs/>
          <w:color w:val="000000"/>
          <w:sz w:val="24"/>
        </w:rPr>
        <w:t>注：投标文件按统一格式、顺序编写。</w:t>
      </w:r>
    </w:p>
    <w:p>
      <w:pPr>
        <w:numPr>
          <w:ilvl w:val="0"/>
          <w:numId w:val="6"/>
        </w:numPr>
        <w:spacing w:line="500" w:lineRule="exact"/>
        <w:ind w:firstLine="482" w:firstLineChars="200"/>
        <w:rPr>
          <w:rFonts w:ascii="宋体" w:hAnsi="宋体" w:cs="宋体"/>
          <w:b/>
          <w:sz w:val="24"/>
        </w:rPr>
      </w:pPr>
      <w:r>
        <w:rPr>
          <w:rFonts w:hint="eastAsia" w:ascii="宋体" w:hAnsi="宋体" w:cs="宋体"/>
          <w:b/>
          <w:sz w:val="24"/>
        </w:rPr>
        <w:t>投标报价：</w:t>
      </w:r>
      <w:bookmarkStart w:id="12" w:name="OLE_LINK1"/>
    </w:p>
    <w:p>
      <w:pPr>
        <w:spacing w:line="500" w:lineRule="exact"/>
        <w:ind w:left="120" w:hanging="120"/>
        <w:rPr>
          <w:rFonts w:ascii="宋体" w:hAnsi="宋体" w:cs="宋体"/>
          <w:sz w:val="24"/>
        </w:rPr>
      </w:pPr>
      <w:r>
        <w:rPr>
          <w:rFonts w:hint="eastAsia" w:ascii="宋体" w:hAnsi="宋体" w:cs="宋体"/>
          <w:sz w:val="24"/>
        </w:rPr>
        <w:t xml:space="preserve">    12.1投标人应按招标文件的要求填写相应投标报价表格。如小写与大写不符的，以大写为准。投标人应在投标报价表中标明其提供的所有服务及其相关工作范围内所在费用的总价。</w:t>
      </w:r>
    </w:p>
    <w:p>
      <w:pPr>
        <w:spacing w:line="500" w:lineRule="exact"/>
        <w:ind w:left="120" w:hanging="120"/>
        <w:rPr>
          <w:rFonts w:ascii="宋体" w:hAnsi="宋体" w:cs="宋体"/>
          <w:sz w:val="24"/>
        </w:rPr>
      </w:pPr>
      <w:r>
        <w:rPr>
          <w:rFonts w:hint="eastAsia" w:ascii="宋体" w:hAnsi="宋体" w:cs="宋体"/>
          <w:sz w:val="24"/>
        </w:rPr>
        <w:t xml:space="preserve">    12.2 除非合同中另有规定，投标人对《投标报价表》中的全部服务的报价应包括所投本项目工作所发生的全部费用以及投标人企业利润、税金和政策性文件规定及合同包含的所有风险、责任等各项应有费用。投标报价为最终报价，除非因特殊原因并经买卖双方及相关监督部门协商同意，投标人不得再要求追加任何费用。同时，除非合同条款中另有规定，否则，投标单位所报价格在合同实施期间不因市场变化因素而变动。</w:t>
      </w:r>
    </w:p>
    <w:p>
      <w:pPr>
        <w:pStyle w:val="20"/>
        <w:overflowPunct w:val="0"/>
        <w:spacing w:line="500" w:lineRule="exact"/>
        <w:ind w:firstLine="480"/>
        <w:rPr>
          <w:rFonts w:ascii="宋体" w:hAnsi="宋体" w:cs="宋体"/>
          <w:szCs w:val="24"/>
        </w:rPr>
      </w:pPr>
      <w:r>
        <w:rPr>
          <w:rFonts w:hint="eastAsia" w:ascii="宋体" w:hAnsi="宋体" w:cs="宋体"/>
          <w:szCs w:val="24"/>
        </w:rPr>
        <w:t xml:space="preserve"> 12.3  投标人应对招标文件内所要采购的全部内容进行报价，只投其中部分内容者，其投标书将被拒绝。但如果招标文件要求分标段投标的，则投标人可以根据自己经营许可内容有选择地只投其中一个或几个或全部标段，但各标段应分别计算填写单价和总价。</w:t>
      </w:r>
    </w:p>
    <w:p>
      <w:pPr>
        <w:pStyle w:val="20"/>
        <w:overflowPunct w:val="0"/>
        <w:spacing w:line="500" w:lineRule="exact"/>
        <w:ind w:firstLine="480"/>
        <w:rPr>
          <w:rFonts w:ascii="宋体" w:hAnsi="宋体" w:cs="宋体"/>
          <w:szCs w:val="24"/>
        </w:rPr>
      </w:pPr>
      <w:r>
        <w:rPr>
          <w:rFonts w:hint="eastAsia" w:ascii="宋体" w:hAnsi="宋体" w:cs="宋体"/>
          <w:szCs w:val="24"/>
        </w:rPr>
        <w:t xml:space="preserve"> 12.4 一项投标内容只允许一个报价，招标人不接受任何有选择性的投标报价。</w:t>
      </w:r>
    </w:p>
    <w:p>
      <w:pPr>
        <w:pStyle w:val="20"/>
        <w:overflowPunct w:val="0"/>
        <w:spacing w:line="500" w:lineRule="exact"/>
        <w:ind w:firstLine="480"/>
        <w:rPr>
          <w:rFonts w:ascii="宋体" w:hAnsi="宋体" w:cs="宋体"/>
          <w:szCs w:val="24"/>
        </w:rPr>
      </w:pPr>
      <w:r>
        <w:rPr>
          <w:rFonts w:hint="eastAsia" w:ascii="宋体" w:hAnsi="宋体" w:cs="宋体"/>
          <w:szCs w:val="24"/>
        </w:rPr>
        <w:t xml:space="preserve"> 12.</w:t>
      </w:r>
      <w:r>
        <w:rPr>
          <w:rFonts w:hint="eastAsia" w:ascii="宋体" w:hAnsi="宋体" w:cs="宋体"/>
          <w:color w:val="000000"/>
          <w:szCs w:val="24"/>
        </w:rPr>
        <w:t>5</w:t>
      </w:r>
      <w:r>
        <w:rPr>
          <w:rFonts w:hint="eastAsia" w:ascii="宋体" w:hAnsi="宋体" w:cs="宋体"/>
          <w:b/>
          <w:bCs/>
          <w:color w:val="000000"/>
          <w:szCs w:val="24"/>
        </w:rPr>
        <w:t>投标报价作为此次评标的评定因素之一，同时也是中标后在本次项目中的收费标准，不得进行更改收费标准。</w:t>
      </w:r>
    </w:p>
    <w:bookmarkEnd w:id="12"/>
    <w:p>
      <w:pPr>
        <w:spacing w:line="500" w:lineRule="exact"/>
        <w:ind w:left="120" w:hanging="120"/>
        <w:rPr>
          <w:rFonts w:ascii="宋体" w:hAnsi="宋体" w:cs="宋体"/>
          <w:b/>
          <w:sz w:val="24"/>
        </w:rPr>
      </w:pPr>
      <w:r>
        <w:rPr>
          <w:rFonts w:hint="eastAsia" w:ascii="宋体" w:hAnsi="宋体" w:cs="宋体"/>
          <w:b/>
          <w:sz w:val="24"/>
        </w:rPr>
        <w:t xml:space="preserve">    13、投标人应逐条详细阅读招标文件有关要求，表明所提供的服务是否对招标文件做出实质性响应。</w:t>
      </w:r>
    </w:p>
    <w:p>
      <w:pPr>
        <w:spacing w:line="500" w:lineRule="exact"/>
        <w:ind w:firstLine="482" w:firstLineChars="200"/>
        <w:rPr>
          <w:rFonts w:ascii="宋体" w:hAnsi="宋体" w:cs="宋体"/>
          <w:b/>
          <w:sz w:val="24"/>
        </w:rPr>
      </w:pPr>
      <w:r>
        <w:rPr>
          <w:rFonts w:hint="eastAsia" w:ascii="宋体" w:hAnsi="宋体" w:cs="宋体"/>
          <w:b/>
          <w:sz w:val="24"/>
        </w:rPr>
        <w:t>14、投标文件的有效期</w:t>
      </w:r>
    </w:p>
    <w:p>
      <w:pPr>
        <w:spacing w:line="500" w:lineRule="exact"/>
        <w:ind w:firstLine="480" w:firstLineChars="200"/>
        <w:rPr>
          <w:rFonts w:ascii="宋体" w:hAnsi="宋体" w:cs="宋体"/>
          <w:sz w:val="24"/>
        </w:rPr>
      </w:pPr>
      <w:r>
        <w:rPr>
          <w:rFonts w:hint="eastAsia" w:ascii="宋体" w:hAnsi="宋体" w:cs="宋体"/>
          <w:sz w:val="24"/>
        </w:rPr>
        <w:t>14.1 投标文件从实际开标之日</w:t>
      </w:r>
      <w:r>
        <w:rPr>
          <w:rFonts w:hint="eastAsia" w:ascii="宋体" w:hAnsi="宋体" w:eastAsia="宋体" w:cs="宋体"/>
          <w:sz w:val="24"/>
        </w:rPr>
        <w:t>起</w:t>
      </w:r>
      <w:r>
        <w:rPr>
          <w:rFonts w:hint="eastAsia" w:ascii="宋体" w:hAnsi="宋体" w:eastAsia="宋体" w:cs="宋体"/>
          <w:color w:val="0000FF"/>
          <w:sz w:val="24"/>
          <w:u w:val="single"/>
          <w:lang w:val="en-US" w:eastAsia="zh-CN"/>
        </w:rPr>
        <w:t>60</w:t>
      </w:r>
      <w:r>
        <w:rPr>
          <w:rFonts w:hint="eastAsia" w:ascii="宋体" w:hAnsi="宋体" w:eastAsia="宋体" w:cs="宋体"/>
          <w:sz w:val="24"/>
        </w:rPr>
        <w:t>天内有效</w:t>
      </w:r>
      <w:r>
        <w:rPr>
          <w:rFonts w:hint="eastAsia" w:ascii="宋体" w:hAnsi="宋体" w:cs="宋体"/>
          <w:sz w:val="24"/>
        </w:rPr>
        <w:t>。</w:t>
      </w:r>
    </w:p>
    <w:p>
      <w:pPr>
        <w:spacing w:line="500" w:lineRule="exact"/>
        <w:ind w:firstLine="480" w:firstLineChars="200"/>
        <w:rPr>
          <w:rFonts w:ascii="宋体" w:hAnsi="宋体" w:cs="宋体"/>
          <w:sz w:val="24"/>
        </w:rPr>
      </w:pPr>
      <w:r>
        <w:rPr>
          <w:rFonts w:hint="eastAsia" w:ascii="宋体" w:hAnsi="宋体" w:cs="宋体"/>
          <w:sz w:val="24"/>
        </w:rPr>
        <w:t>14.2 如遇特殊情况，在原投标有效期届满之前，招标人可与投标人协商延长投标文件的有效期，并经投标人确认。</w:t>
      </w:r>
    </w:p>
    <w:p>
      <w:pPr>
        <w:spacing w:line="500" w:lineRule="exact"/>
        <w:ind w:firstLine="482" w:firstLineChars="200"/>
        <w:rPr>
          <w:rFonts w:ascii="宋体" w:hAnsi="宋体" w:cs="宋体"/>
          <w:b/>
          <w:sz w:val="24"/>
        </w:rPr>
      </w:pPr>
      <w:r>
        <w:rPr>
          <w:rFonts w:hint="eastAsia" w:ascii="宋体" w:hAnsi="宋体" w:cs="宋体"/>
          <w:b/>
          <w:sz w:val="24"/>
        </w:rPr>
        <w:t>15、投标文件的份数、签署、字体、装订</w:t>
      </w:r>
    </w:p>
    <w:p>
      <w:pPr>
        <w:spacing w:line="500" w:lineRule="exact"/>
        <w:ind w:left="239" w:leftChars="114" w:firstLine="361" w:firstLineChars="150"/>
        <w:rPr>
          <w:rFonts w:hint="eastAsia" w:ascii="宋体" w:hAnsi="宋体" w:cs="宋体"/>
          <w:b/>
          <w:sz w:val="24"/>
        </w:rPr>
      </w:pPr>
      <w:r>
        <w:rPr>
          <w:rFonts w:hint="eastAsia" w:ascii="宋体" w:hAnsi="宋体" w:cs="宋体"/>
          <w:b/>
          <w:sz w:val="24"/>
        </w:rPr>
        <w:t>15.1 投标人必须按“投标人须知前附表”中规定的“正本”和“副本”份数，投标文件正本和副本如有不一致之处，以正本为准。参考资料数量不限。</w:t>
      </w:r>
    </w:p>
    <w:p>
      <w:pPr>
        <w:spacing w:line="500" w:lineRule="exact"/>
        <w:ind w:left="239" w:leftChars="114" w:firstLine="361" w:firstLineChars="150"/>
        <w:rPr>
          <w:rFonts w:hint="eastAsia" w:ascii="宋体" w:hAnsi="宋体" w:cs="宋体"/>
          <w:b/>
          <w:sz w:val="24"/>
        </w:rPr>
      </w:pPr>
      <w:r>
        <w:rPr>
          <w:rFonts w:hint="eastAsia" w:ascii="宋体" w:hAnsi="宋体" w:cs="宋体"/>
          <w:b/>
          <w:sz w:val="24"/>
        </w:rPr>
        <w:t>15.2投标文件正本与副本须用不褪色的墨水笔书写或打印。投标文件的书写应清楚工整，修改处应由投标人全权代表签章。</w:t>
      </w:r>
    </w:p>
    <w:p>
      <w:pPr>
        <w:spacing w:line="500" w:lineRule="exact"/>
        <w:rPr>
          <w:rFonts w:hint="eastAsia" w:ascii="宋体" w:hAnsi="宋体" w:cs="宋体"/>
          <w:b/>
          <w:sz w:val="24"/>
        </w:rPr>
      </w:pPr>
      <w:r>
        <w:rPr>
          <w:rFonts w:hint="eastAsia" w:ascii="宋体" w:hAnsi="宋体" w:cs="宋体"/>
          <w:b/>
          <w:sz w:val="24"/>
        </w:rPr>
        <w:t xml:space="preserve"> </w:t>
      </w:r>
      <w:r>
        <w:rPr>
          <w:rFonts w:hint="eastAsia" w:ascii="宋体" w:hAnsi="宋体" w:cs="宋体"/>
          <w:b/>
          <w:sz w:val="24"/>
          <w:lang w:val="en-US" w:eastAsia="zh-CN"/>
        </w:rPr>
        <w:t xml:space="preserve">    </w:t>
      </w:r>
      <w:r>
        <w:rPr>
          <w:rFonts w:hint="eastAsia" w:ascii="宋体" w:hAnsi="宋体" w:cs="宋体"/>
          <w:b/>
          <w:sz w:val="24"/>
        </w:rPr>
        <w:t>15.3 投标文件应由企业法人或法人授权代表在凡规定签章处逐一签署及加盖单位公章。</w:t>
      </w:r>
    </w:p>
    <w:p>
      <w:pPr>
        <w:spacing w:line="500" w:lineRule="exact"/>
        <w:ind w:firstLine="482" w:firstLineChars="200"/>
        <w:rPr>
          <w:rFonts w:hint="eastAsia" w:ascii="宋体" w:hAnsi="宋体" w:cs="宋体"/>
          <w:b/>
          <w:sz w:val="24"/>
        </w:rPr>
      </w:pPr>
      <w:r>
        <w:rPr>
          <w:rFonts w:hint="eastAsia" w:ascii="宋体" w:hAnsi="宋体" w:cs="宋体"/>
          <w:b/>
          <w:sz w:val="24"/>
        </w:rPr>
        <w:t>15.4投标文件字体一律采用四号宋体字。</w:t>
      </w:r>
    </w:p>
    <w:p>
      <w:pPr>
        <w:spacing w:line="500" w:lineRule="exact"/>
        <w:ind w:firstLine="482" w:firstLineChars="200"/>
        <w:rPr>
          <w:rFonts w:hint="eastAsia" w:ascii="宋体" w:hAnsi="宋体" w:cs="宋体"/>
          <w:b/>
          <w:sz w:val="24"/>
        </w:rPr>
      </w:pPr>
      <w:r>
        <w:rPr>
          <w:rFonts w:hint="eastAsia" w:ascii="宋体" w:hAnsi="宋体" w:cs="宋体"/>
          <w:b/>
          <w:sz w:val="24"/>
        </w:rPr>
        <w:t>15.5投标文件一律采用胶装方式进行装订。</w:t>
      </w:r>
    </w:p>
    <w:p>
      <w:pPr>
        <w:spacing w:line="500" w:lineRule="exact"/>
        <w:ind w:firstLine="482" w:firstLineChars="200"/>
        <w:rPr>
          <w:rFonts w:ascii="宋体" w:hAnsi="宋体" w:cs="宋体"/>
          <w:b/>
          <w:sz w:val="24"/>
        </w:rPr>
      </w:pPr>
      <w:r>
        <w:rPr>
          <w:rFonts w:hint="eastAsia" w:ascii="宋体" w:hAnsi="宋体" w:cs="宋体"/>
          <w:b/>
          <w:sz w:val="24"/>
        </w:rPr>
        <w:t>16、投标保证金</w:t>
      </w:r>
    </w:p>
    <w:p>
      <w:pPr>
        <w:spacing w:line="500" w:lineRule="exact"/>
        <w:ind w:firstLine="480" w:firstLineChars="200"/>
        <w:rPr>
          <w:rFonts w:ascii="宋体" w:hAnsi="宋体" w:cs="宋体"/>
          <w:sz w:val="24"/>
        </w:rPr>
      </w:pPr>
      <w:r>
        <w:rPr>
          <w:rFonts w:hint="eastAsia" w:ascii="宋体" w:hAnsi="宋体" w:cs="宋体"/>
          <w:sz w:val="24"/>
        </w:rPr>
        <w:t>16.1 投标保证金数额</w:t>
      </w:r>
      <w:r>
        <w:rPr>
          <w:rFonts w:hint="eastAsia" w:ascii="宋体" w:hAnsi="宋体" w:cs="宋体"/>
          <w:b/>
          <w:sz w:val="24"/>
          <w:u w:val="single"/>
        </w:rPr>
        <w:t>详见投标人须知前附表第3条</w:t>
      </w:r>
      <w:r>
        <w:rPr>
          <w:rFonts w:hint="eastAsia" w:ascii="宋体" w:hAnsi="宋体" w:cs="宋体"/>
          <w:sz w:val="24"/>
        </w:rPr>
        <w:t>。</w:t>
      </w:r>
    </w:p>
    <w:p>
      <w:pPr>
        <w:spacing w:line="500" w:lineRule="exact"/>
        <w:ind w:firstLine="480" w:firstLineChars="200"/>
        <w:rPr>
          <w:rFonts w:ascii="宋体" w:hAnsi="宋体" w:cs="宋体"/>
          <w:sz w:val="24"/>
        </w:rPr>
      </w:pPr>
      <w:r>
        <w:rPr>
          <w:rFonts w:hint="eastAsia" w:ascii="宋体" w:hAnsi="宋体" w:cs="宋体"/>
          <w:sz w:val="24"/>
        </w:rPr>
        <w:t>16.2 投标保证金用于应对本次招标因投标人违规、违约而产生的风险。</w:t>
      </w:r>
    </w:p>
    <w:p>
      <w:pPr>
        <w:spacing w:line="500" w:lineRule="exact"/>
        <w:ind w:firstLine="480" w:firstLineChars="200"/>
        <w:rPr>
          <w:rFonts w:ascii="宋体" w:hAnsi="宋体" w:cs="宋体"/>
          <w:sz w:val="24"/>
        </w:rPr>
      </w:pPr>
      <w:r>
        <w:rPr>
          <w:rFonts w:hint="eastAsia" w:ascii="宋体" w:hAnsi="宋体" w:cs="宋体"/>
          <w:sz w:val="24"/>
        </w:rPr>
        <w:t>16.3 投标人必须于投标截止时间之前（</w:t>
      </w:r>
      <w:r>
        <w:rPr>
          <w:rFonts w:hint="eastAsia" w:ascii="宋体" w:hAnsi="宋体" w:cs="宋体"/>
          <w:b/>
          <w:sz w:val="24"/>
          <w:u w:val="single"/>
        </w:rPr>
        <w:t>详见投标人须知前附表第3条规定）</w:t>
      </w:r>
      <w:r>
        <w:rPr>
          <w:rFonts w:hint="eastAsia" w:ascii="宋体" w:hAnsi="宋体" w:cs="宋体"/>
          <w:sz w:val="24"/>
        </w:rPr>
        <w:t>按将投标保证金交纳至规定的帐号，对未按要求提交投标保证金的投标书，招标机构将视为不响应投标予以拒绝。</w:t>
      </w:r>
    </w:p>
    <w:p>
      <w:pPr>
        <w:spacing w:line="500" w:lineRule="exact"/>
        <w:ind w:firstLine="480" w:firstLineChars="200"/>
        <w:rPr>
          <w:rFonts w:ascii="宋体" w:hAnsi="宋体" w:cs="宋体"/>
          <w:sz w:val="24"/>
        </w:rPr>
      </w:pPr>
      <w:r>
        <w:rPr>
          <w:rFonts w:hint="eastAsia" w:ascii="宋体" w:hAnsi="宋体" w:cs="宋体"/>
          <w:sz w:val="24"/>
        </w:rPr>
        <w:t>16.4 投标保证金应以公对公转账方式提交。本招标不接受其他形式的投标保证金。</w:t>
      </w:r>
    </w:p>
    <w:p>
      <w:pPr>
        <w:spacing w:line="500" w:lineRule="exact"/>
        <w:ind w:firstLine="480" w:firstLineChars="200"/>
        <w:rPr>
          <w:rFonts w:ascii="宋体" w:hAnsi="宋体" w:cs="宋体"/>
          <w:sz w:val="24"/>
        </w:rPr>
      </w:pPr>
      <w:r>
        <w:rPr>
          <w:rFonts w:hint="eastAsia" w:ascii="宋体" w:hAnsi="宋体" w:cs="宋体"/>
          <w:sz w:val="24"/>
        </w:rPr>
        <w:t>16.5在招标方规定的投标有效期满之前，招标方将以书面形式发出《中标通知书》，《中标通知书》一经发出即发生法律效力。</w:t>
      </w:r>
    </w:p>
    <w:p>
      <w:pPr>
        <w:spacing w:line="500" w:lineRule="exact"/>
        <w:ind w:firstLine="480" w:firstLineChars="200"/>
        <w:rPr>
          <w:rFonts w:ascii="宋体" w:hAnsi="宋体" w:cs="宋体"/>
          <w:sz w:val="24"/>
        </w:rPr>
      </w:pPr>
      <w:r>
        <w:rPr>
          <w:rFonts w:hint="eastAsia" w:ascii="宋体" w:hAnsi="宋体" w:cs="宋体"/>
          <w:sz w:val="24"/>
        </w:rPr>
        <w:t>16.6 发生以下情况投标保证金可能被没收：</w:t>
      </w:r>
    </w:p>
    <w:p>
      <w:pPr>
        <w:spacing w:line="500" w:lineRule="exact"/>
        <w:ind w:firstLine="480" w:firstLineChars="200"/>
        <w:rPr>
          <w:rFonts w:ascii="宋体" w:hAnsi="宋体" w:cs="宋体"/>
          <w:sz w:val="24"/>
        </w:rPr>
      </w:pPr>
      <w:r>
        <w:rPr>
          <w:rFonts w:hint="eastAsia" w:ascii="宋体" w:hAnsi="宋体" w:cs="宋体"/>
          <w:sz w:val="24"/>
        </w:rPr>
        <w:t>16.6</w:t>
      </w:r>
      <w:r>
        <w:rPr>
          <w:rFonts w:hint="eastAsia" w:ascii="宋体" w:hAnsi="宋体" w:cs="宋体"/>
          <w:sz w:val="24"/>
          <w:lang w:val="en-US" w:eastAsia="zh-CN"/>
        </w:rPr>
        <w:t>.1</w:t>
      </w:r>
      <w:r>
        <w:rPr>
          <w:rFonts w:hint="eastAsia" w:ascii="宋体" w:hAnsi="宋体" w:cs="宋体"/>
          <w:sz w:val="24"/>
        </w:rPr>
        <w:t>投标人在招标文件中规定的投标有效期内撤回其投标;</w:t>
      </w:r>
    </w:p>
    <w:p>
      <w:pPr>
        <w:spacing w:line="500" w:lineRule="exact"/>
        <w:ind w:firstLine="480" w:firstLineChars="200"/>
        <w:rPr>
          <w:rFonts w:hint="eastAsia" w:ascii="宋体" w:hAnsi="宋体" w:cs="宋体"/>
          <w:sz w:val="24"/>
        </w:rPr>
      </w:pPr>
      <w:r>
        <w:rPr>
          <w:rFonts w:hint="eastAsia" w:ascii="宋体" w:hAnsi="宋体" w:cs="宋体"/>
          <w:sz w:val="24"/>
        </w:rPr>
        <w:t>16.6</w:t>
      </w:r>
      <w:r>
        <w:rPr>
          <w:rFonts w:hint="eastAsia" w:ascii="宋体" w:hAnsi="宋体" w:cs="宋体"/>
          <w:sz w:val="24"/>
          <w:lang w:val="en-US" w:eastAsia="zh-CN"/>
        </w:rPr>
        <w:t>.2</w:t>
      </w:r>
      <w:r>
        <w:rPr>
          <w:rFonts w:hint="eastAsia" w:ascii="宋体" w:hAnsi="宋体" w:cs="宋体"/>
          <w:sz w:val="24"/>
        </w:rPr>
        <w:t>中标人在规定期限内未能：</w:t>
      </w:r>
    </w:p>
    <w:p>
      <w:pPr>
        <w:spacing w:line="500" w:lineRule="exact"/>
        <w:ind w:firstLine="480" w:firstLineChars="200"/>
        <w:rPr>
          <w:rFonts w:hint="eastAsia" w:ascii="宋体" w:hAnsi="宋体" w:cs="宋体"/>
          <w:sz w:val="24"/>
        </w:rPr>
      </w:pPr>
      <w:r>
        <w:rPr>
          <w:rFonts w:hint="eastAsia" w:ascii="宋体" w:hAnsi="宋体" w:cs="宋体"/>
          <w:sz w:val="24"/>
        </w:rPr>
        <w:t>(1)根据投标人按规定签订合同或按规定接受对错误的修正;</w:t>
      </w:r>
    </w:p>
    <w:p>
      <w:pPr>
        <w:spacing w:line="500" w:lineRule="exact"/>
        <w:ind w:firstLine="480" w:firstLineChars="200"/>
        <w:rPr>
          <w:rFonts w:hint="eastAsia" w:ascii="宋体" w:hAnsi="宋体" w:cs="宋体"/>
          <w:sz w:val="24"/>
        </w:rPr>
      </w:pPr>
      <w:r>
        <w:rPr>
          <w:rFonts w:hint="eastAsia" w:ascii="宋体" w:hAnsi="宋体" w:cs="宋体"/>
          <w:sz w:val="24"/>
        </w:rPr>
        <w:t>(2)根据招标文件规定未提交履约保证金。</w:t>
      </w:r>
    </w:p>
    <w:p>
      <w:pPr>
        <w:spacing w:line="500" w:lineRule="exact"/>
        <w:ind w:firstLine="480" w:firstLineChars="200"/>
        <w:rPr>
          <w:rFonts w:hint="eastAsia" w:ascii="宋体" w:hAnsi="宋体" w:cs="宋体"/>
          <w:sz w:val="24"/>
        </w:rPr>
      </w:pPr>
      <w:r>
        <w:rPr>
          <w:rFonts w:hint="eastAsia" w:ascii="宋体" w:hAnsi="宋体" w:cs="宋体"/>
          <w:sz w:val="24"/>
        </w:rPr>
        <w:t>16.6</w:t>
      </w:r>
      <w:r>
        <w:rPr>
          <w:rFonts w:hint="eastAsia" w:ascii="宋体" w:hAnsi="宋体" w:cs="宋体"/>
          <w:sz w:val="24"/>
          <w:lang w:val="en-US" w:eastAsia="zh-CN"/>
        </w:rPr>
        <w:t>.3</w:t>
      </w:r>
      <w:r>
        <w:rPr>
          <w:rFonts w:hint="eastAsia" w:ascii="宋体" w:hAnsi="宋体" w:cs="宋体"/>
          <w:sz w:val="24"/>
        </w:rPr>
        <w:t>投标人采用不正当的手段骗取中标。</w:t>
      </w:r>
    </w:p>
    <w:p>
      <w:pPr>
        <w:spacing w:line="500" w:lineRule="exact"/>
        <w:ind w:left="0" w:leftChars="0" w:firstLine="480" w:firstLineChars="200"/>
        <w:rPr>
          <w:rFonts w:hint="eastAsia" w:ascii="宋体" w:hAnsi="宋体" w:cs="宋体"/>
          <w:sz w:val="24"/>
        </w:rPr>
      </w:pPr>
      <w:r>
        <w:rPr>
          <w:rFonts w:hint="eastAsia" w:ascii="宋体" w:hAnsi="宋体" w:cs="宋体"/>
          <w:sz w:val="24"/>
        </w:rPr>
        <w:t>16.6.</w:t>
      </w:r>
      <w:r>
        <w:rPr>
          <w:rFonts w:hint="eastAsia" w:ascii="宋体" w:hAnsi="宋体" w:cs="宋体"/>
          <w:sz w:val="24"/>
          <w:lang w:val="en-US" w:eastAsia="zh-CN"/>
        </w:rPr>
        <w:t>4</w:t>
      </w:r>
      <w:r>
        <w:rPr>
          <w:rFonts w:hint="eastAsia" w:ascii="宋体" w:hAnsi="宋体" w:cs="宋体"/>
          <w:sz w:val="24"/>
        </w:rPr>
        <w:t>投标人在投标过程中有违反有关法律法规行为的。</w:t>
      </w:r>
    </w:p>
    <w:p>
      <w:pPr>
        <w:spacing w:line="480" w:lineRule="exact"/>
        <w:ind w:left="120" w:hanging="120"/>
        <w:jc w:val="center"/>
        <w:rPr>
          <w:rFonts w:ascii="宋体" w:hAnsi="宋体" w:cs="宋体"/>
          <w:b/>
          <w:sz w:val="24"/>
        </w:rPr>
      </w:pPr>
    </w:p>
    <w:p>
      <w:pPr>
        <w:numPr>
          <w:ilvl w:val="0"/>
          <w:numId w:val="5"/>
        </w:numPr>
        <w:spacing w:line="480" w:lineRule="exact"/>
        <w:ind w:left="120" w:hanging="120"/>
        <w:jc w:val="center"/>
        <w:rPr>
          <w:rFonts w:ascii="宋体" w:hAnsi="宋体" w:cs="宋体"/>
          <w:b/>
          <w:sz w:val="24"/>
        </w:rPr>
      </w:pPr>
      <w:r>
        <w:rPr>
          <w:rFonts w:hint="eastAsia" w:ascii="宋体" w:hAnsi="宋体" w:cs="宋体"/>
          <w:b/>
          <w:sz w:val="24"/>
        </w:rPr>
        <w:t>投标文件的递交</w:t>
      </w:r>
    </w:p>
    <w:p>
      <w:pPr>
        <w:spacing w:line="480" w:lineRule="exact"/>
        <w:ind w:firstLine="482" w:firstLineChars="200"/>
        <w:rPr>
          <w:rFonts w:ascii="宋体" w:hAnsi="宋体" w:cs="宋体"/>
          <w:b/>
          <w:sz w:val="24"/>
        </w:rPr>
      </w:pPr>
      <w:r>
        <w:rPr>
          <w:rFonts w:hint="eastAsia" w:ascii="宋体" w:hAnsi="宋体" w:cs="宋体"/>
          <w:b/>
          <w:sz w:val="24"/>
        </w:rPr>
        <w:t>17、投标文件的密封与标记</w:t>
      </w:r>
    </w:p>
    <w:p>
      <w:pPr>
        <w:widowControl/>
        <w:spacing w:line="480" w:lineRule="exact"/>
        <w:ind w:left="-2" w:leftChars="-1" w:firstLine="463" w:firstLineChars="193"/>
        <w:rPr>
          <w:rFonts w:ascii="宋体" w:hAnsi="宋体" w:cs="宋体"/>
          <w:sz w:val="24"/>
        </w:rPr>
      </w:pPr>
      <w:r>
        <w:rPr>
          <w:rFonts w:hint="eastAsia" w:ascii="宋体" w:hAnsi="宋体" w:cs="宋体"/>
          <w:sz w:val="24"/>
        </w:rPr>
        <w:t>17.1</w:t>
      </w:r>
      <w:r>
        <w:rPr>
          <w:rFonts w:hint="eastAsia" w:ascii="宋体" w:hAnsi="宋体" w:cs="宋体"/>
          <w:b/>
          <w:sz w:val="24"/>
        </w:rPr>
        <w:t>投标方应将投标文件正、副本、开标一览表、电子版投标文件分别密封，在密封件的封面上标明正本或副本、投标人名称、法定代表人、单位公章（或合同专用章）</w:t>
      </w:r>
      <w:r>
        <w:rPr>
          <w:rFonts w:hint="eastAsia" w:ascii="宋体" w:hAnsi="宋体" w:cs="宋体"/>
          <w:sz w:val="24"/>
        </w:rPr>
        <w:t>。</w:t>
      </w:r>
    </w:p>
    <w:p>
      <w:pPr>
        <w:spacing w:line="480" w:lineRule="exact"/>
        <w:ind w:firstLine="480" w:firstLineChars="200"/>
        <w:rPr>
          <w:rFonts w:ascii="宋体" w:hAnsi="宋体" w:cs="宋体"/>
          <w:sz w:val="24"/>
        </w:rPr>
      </w:pPr>
      <w:r>
        <w:rPr>
          <w:rFonts w:hint="eastAsia" w:ascii="宋体" w:hAnsi="宋体" w:cs="宋体"/>
          <w:sz w:val="24"/>
        </w:rPr>
        <w:t>17.2所有投标文件信袋及包装物上均应贴上封条，封条上应注明以下内容：</w:t>
      </w:r>
    </w:p>
    <w:p>
      <w:pPr>
        <w:spacing w:line="480" w:lineRule="exact"/>
        <w:ind w:firstLine="480" w:firstLineChars="200"/>
        <w:rPr>
          <w:rFonts w:ascii="宋体" w:hAnsi="宋体" w:cs="宋体"/>
          <w:sz w:val="24"/>
        </w:rPr>
      </w:pPr>
      <w:r>
        <w:rPr>
          <w:rFonts w:hint="eastAsia" w:ascii="宋体" w:hAnsi="宋体" w:cs="宋体"/>
          <w:sz w:val="24"/>
        </w:rPr>
        <w:t xml:space="preserve">（1）招标单位； </w:t>
      </w:r>
    </w:p>
    <w:p>
      <w:pPr>
        <w:spacing w:line="480" w:lineRule="exact"/>
        <w:ind w:firstLine="480" w:firstLineChars="200"/>
        <w:rPr>
          <w:rFonts w:ascii="宋体" w:hAnsi="宋体" w:cs="宋体"/>
          <w:sz w:val="24"/>
        </w:rPr>
      </w:pPr>
      <w:r>
        <w:rPr>
          <w:rFonts w:hint="eastAsia" w:ascii="宋体" w:hAnsi="宋体" w:cs="宋体"/>
          <w:sz w:val="24"/>
        </w:rPr>
        <w:t>（2）项目名称；</w:t>
      </w:r>
    </w:p>
    <w:p>
      <w:pPr>
        <w:spacing w:line="480" w:lineRule="exact"/>
        <w:ind w:firstLine="480" w:firstLineChars="200"/>
        <w:rPr>
          <w:rFonts w:ascii="宋体" w:hAnsi="宋体" w:cs="宋体"/>
          <w:sz w:val="24"/>
        </w:rPr>
      </w:pPr>
      <w:r>
        <w:rPr>
          <w:rFonts w:hint="eastAsia" w:ascii="宋体" w:hAnsi="宋体" w:cs="宋体"/>
          <w:sz w:val="24"/>
        </w:rPr>
        <w:t>（3）标书编号；</w:t>
      </w:r>
    </w:p>
    <w:p>
      <w:pPr>
        <w:spacing w:line="480" w:lineRule="exact"/>
        <w:ind w:firstLine="480" w:firstLineChars="200"/>
        <w:rPr>
          <w:rFonts w:ascii="宋体" w:hAnsi="宋体" w:cs="宋体"/>
          <w:sz w:val="24"/>
        </w:rPr>
      </w:pPr>
      <w:r>
        <w:rPr>
          <w:rFonts w:hint="eastAsia" w:ascii="宋体" w:hAnsi="宋体" w:cs="宋体"/>
          <w:sz w:val="24"/>
        </w:rPr>
        <w:t>（4）投标企业名称和地址；</w:t>
      </w:r>
    </w:p>
    <w:p>
      <w:pPr>
        <w:spacing w:line="480" w:lineRule="exact"/>
        <w:ind w:firstLine="480" w:firstLineChars="200"/>
        <w:rPr>
          <w:rFonts w:ascii="宋体" w:hAnsi="宋体" w:cs="宋体"/>
          <w:sz w:val="24"/>
        </w:rPr>
      </w:pPr>
      <w:r>
        <w:rPr>
          <w:rFonts w:hint="eastAsia" w:ascii="宋体" w:hAnsi="宋体" w:cs="宋体"/>
          <w:sz w:val="24"/>
        </w:rPr>
        <w:t>（5）“开标前不准启封”；</w:t>
      </w:r>
    </w:p>
    <w:p>
      <w:pPr>
        <w:spacing w:line="480" w:lineRule="exact"/>
        <w:ind w:firstLine="480" w:firstLineChars="200"/>
        <w:rPr>
          <w:rFonts w:ascii="宋体" w:hAnsi="宋体" w:cs="宋体"/>
          <w:sz w:val="24"/>
        </w:rPr>
      </w:pPr>
      <w:r>
        <w:rPr>
          <w:rFonts w:hint="eastAsia" w:ascii="宋体" w:hAnsi="宋体" w:cs="宋体"/>
          <w:sz w:val="24"/>
        </w:rPr>
        <w:t>17.4未按本须知要求密封、标记和递交的投标文件，后果自负。</w:t>
      </w:r>
    </w:p>
    <w:p>
      <w:pPr>
        <w:spacing w:line="480" w:lineRule="exact"/>
        <w:ind w:firstLine="482" w:firstLineChars="200"/>
        <w:rPr>
          <w:rFonts w:ascii="宋体" w:hAnsi="宋体" w:cs="宋体"/>
          <w:b/>
          <w:sz w:val="24"/>
        </w:rPr>
      </w:pPr>
      <w:r>
        <w:rPr>
          <w:rFonts w:hint="eastAsia" w:ascii="宋体" w:hAnsi="宋体" w:cs="宋体"/>
          <w:b/>
          <w:sz w:val="24"/>
        </w:rPr>
        <w:t>18、投标文件递交的截止日期</w:t>
      </w:r>
    </w:p>
    <w:p>
      <w:pPr>
        <w:spacing w:line="480" w:lineRule="exact"/>
        <w:ind w:firstLine="480" w:firstLineChars="200"/>
        <w:rPr>
          <w:rFonts w:ascii="宋体" w:hAnsi="宋体" w:cs="宋体"/>
          <w:sz w:val="24"/>
        </w:rPr>
      </w:pPr>
      <w:r>
        <w:rPr>
          <w:rFonts w:hint="eastAsia" w:ascii="宋体" w:hAnsi="宋体" w:cs="宋体"/>
          <w:sz w:val="24"/>
        </w:rPr>
        <w:t>18.1投标人必须按“投标人须知前附表”中规定的投标截止时间将投标文件送达</w:t>
      </w:r>
      <w:r>
        <w:rPr>
          <w:rFonts w:hint="eastAsia" w:ascii="宋体" w:hAnsi="宋体" w:cs="宋体"/>
          <w:b/>
          <w:sz w:val="24"/>
          <w:u w:val="single"/>
        </w:rPr>
        <w:t xml:space="preserve"> 开标地点 </w:t>
      </w:r>
      <w:r>
        <w:rPr>
          <w:rFonts w:hint="eastAsia" w:ascii="宋体" w:hAnsi="宋体" w:cs="宋体"/>
          <w:sz w:val="24"/>
        </w:rPr>
        <w:t>。</w:t>
      </w:r>
    </w:p>
    <w:p>
      <w:pPr>
        <w:spacing w:line="480" w:lineRule="exact"/>
        <w:ind w:firstLine="480" w:firstLineChars="200"/>
        <w:rPr>
          <w:rFonts w:ascii="宋体" w:hAnsi="宋体" w:cs="宋体"/>
          <w:sz w:val="24"/>
        </w:rPr>
      </w:pPr>
      <w:r>
        <w:rPr>
          <w:rFonts w:hint="eastAsia" w:ascii="宋体" w:hAnsi="宋体" w:cs="宋体"/>
          <w:sz w:val="24"/>
        </w:rPr>
        <w:t>18.2超过招标文件规定的投标截止时间送达或邮寄的投标文件将不予接受。</w:t>
      </w:r>
    </w:p>
    <w:p>
      <w:pPr>
        <w:spacing w:line="480" w:lineRule="exact"/>
        <w:ind w:firstLine="482" w:firstLineChars="200"/>
        <w:rPr>
          <w:rFonts w:ascii="宋体" w:hAnsi="宋体" w:cs="宋体"/>
          <w:b/>
          <w:sz w:val="24"/>
        </w:rPr>
      </w:pPr>
      <w:r>
        <w:rPr>
          <w:rFonts w:hint="eastAsia" w:ascii="宋体" w:hAnsi="宋体" w:cs="宋体"/>
          <w:b/>
          <w:sz w:val="24"/>
        </w:rPr>
        <w:t>19、投标文件的修改和撤消</w:t>
      </w:r>
    </w:p>
    <w:p>
      <w:pPr>
        <w:spacing w:line="480" w:lineRule="exact"/>
        <w:ind w:firstLine="480" w:firstLineChars="200"/>
        <w:rPr>
          <w:rFonts w:ascii="宋体" w:hAnsi="宋体" w:cs="宋体"/>
          <w:sz w:val="24"/>
        </w:rPr>
      </w:pPr>
      <w:r>
        <w:rPr>
          <w:rFonts w:hint="eastAsia" w:ascii="宋体" w:hAnsi="宋体" w:cs="宋体"/>
          <w:sz w:val="24"/>
        </w:rPr>
        <w:t>19.1 投标人可以在递交投标文件后，在规定的投标截止时间前，以书面形式向招标人递交通知修改或撤回其投标文件。</w:t>
      </w:r>
    </w:p>
    <w:p>
      <w:pPr>
        <w:spacing w:line="480" w:lineRule="exact"/>
        <w:ind w:firstLine="480" w:firstLineChars="200"/>
        <w:rPr>
          <w:rFonts w:ascii="宋体" w:hAnsi="宋体" w:cs="宋体"/>
          <w:sz w:val="24"/>
        </w:rPr>
      </w:pPr>
      <w:r>
        <w:rPr>
          <w:rFonts w:hint="eastAsia" w:ascii="宋体" w:hAnsi="宋体" w:cs="宋体"/>
          <w:sz w:val="24"/>
        </w:rPr>
        <w:t>19.2 投标人对投标文件的修改或撤消应按本章第18和19条规定进行准备、密封、标注和递交。</w:t>
      </w:r>
    </w:p>
    <w:p>
      <w:pPr>
        <w:spacing w:line="480" w:lineRule="exact"/>
        <w:ind w:firstLine="480" w:firstLineChars="200"/>
        <w:rPr>
          <w:rFonts w:ascii="宋体" w:hAnsi="宋体" w:cs="宋体"/>
          <w:sz w:val="24"/>
        </w:rPr>
      </w:pPr>
      <w:r>
        <w:rPr>
          <w:rFonts w:hint="eastAsia" w:ascii="宋体" w:hAnsi="宋体" w:cs="宋体"/>
          <w:sz w:val="24"/>
        </w:rPr>
        <w:t>19.3 投标截止时间后不得修改投标文件。</w:t>
      </w:r>
    </w:p>
    <w:p>
      <w:pPr>
        <w:spacing w:line="480" w:lineRule="exact"/>
        <w:ind w:firstLine="480" w:firstLineChars="200"/>
        <w:rPr>
          <w:rFonts w:ascii="宋体" w:hAnsi="宋体" w:cs="宋体"/>
          <w:sz w:val="24"/>
        </w:rPr>
      </w:pPr>
      <w:r>
        <w:rPr>
          <w:rFonts w:hint="eastAsia" w:ascii="宋体" w:hAnsi="宋体" w:cs="宋体"/>
          <w:sz w:val="24"/>
        </w:rPr>
        <w:t>19.4投标人不得在投标截止时间起至投标文件有效期满前撤消投标文件，否则招标机构将没收其投标保证金。作为对招标代理机构和招标人的违约赔偿金。</w:t>
      </w:r>
    </w:p>
    <w:p>
      <w:pPr>
        <w:spacing w:line="480" w:lineRule="exact"/>
        <w:ind w:left="120" w:hanging="120"/>
        <w:jc w:val="center"/>
        <w:rPr>
          <w:rFonts w:ascii="宋体" w:hAnsi="宋体" w:cs="宋体"/>
          <w:b/>
          <w:sz w:val="24"/>
        </w:rPr>
      </w:pPr>
    </w:p>
    <w:p>
      <w:pPr>
        <w:spacing w:line="480" w:lineRule="exact"/>
        <w:ind w:left="120" w:hanging="120"/>
        <w:jc w:val="center"/>
        <w:rPr>
          <w:rFonts w:ascii="宋体" w:hAnsi="宋体" w:cs="宋体"/>
          <w:b/>
          <w:sz w:val="24"/>
        </w:rPr>
      </w:pPr>
      <w:r>
        <w:rPr>
          <w:rFonts w:hint="eastAsia" w:ascii="宋体" w:hAnsi="宋体" w:cs="宋体"/>
          <w:b/>
          <w:sz w:val="24"/>
        </w:rPr>
        <w:t>五、开    标</w:t>
      </w:r>
    </w:p>
    <w:p>
      <w:pPr>
        <w:spacing w:line="480" w:lineRule="exact"/>
        <w:ind w:firstLine="482" w:firstLineChars="200"/>
        <w:rPr>
          <w:rFonts w:ascii="宋体" w:hAnsi="宋体" w:cs="宋体"/>
          <w:b/>
          <w:sz w:val="24"/>
        </w:rPr>
      </w:pPr>
      <w:r>
        <w:rPr>
          <w:rFonts w:hint="eastAsia" w:ascii="宋体" w:hAnsi="宋体" w:cs="宋体"/>
          <w:b/>
          <w:sz w:val="24"/>
        </w:rPr>
        <w:t>20、开标</w:t>
      </w:r>
    </w:p>
    <w:p>
      <w:pPr>
        <w:spacing w:line="480" w:lineRule="exact"/>
        <w:ind w:firstLine="480" w:firstLineChars="200"/>
        <w:rPr>
          <w:rFonts w:ascii="宋体" w:hAnsi="宋体" w:cs="宋体"/>
          <w:sz w:val="24"/>
        </w:rPr>
      </w:pPr>
      <w:r>
        <w:rPr>
          <w:rFonts w:hint="eastAsia" w:ascii="宋体" w:hAnsi="宋体" w:cs="宋体"/>
          <w:sz w:val="24"/>
        </w:rPr>
        <w:t>20.1 招标代理机构按“投标人须知前附表”规定的时间和地点开标，届时请监督人和投标方代表参加并签到。</w:t>
      </w:r>
    </w:p>
    <w:p>
      <w:pPr>
        <w:spacing w:line="480" w:lineRule="exact"/>
        <w:ind w:firstLine="480" w:firstLineChars="200"/>
        <w:rPr>
          <w:rFonts w:ascii="宋体" w:hAnsi="宋体" w:cs="宋体"/>
          <w:sz w:val="24"/>
        </w:rPr>
      </w:pPr>
      <w:r>
        <w:rPr>
          <w:rFonts w:hint="eastAsia" w:ascii="宋体" w:hAnsi="宋体" w:cs="宋体"/>
          <w:sz w:val="24"/>
        </w:rPr>
        <w:t>20.2 开标时先由投标人代表和监督人对投标人有效资质及投标文件的密封与标志及进行核查；唱标人宣读投标文件正本、“开标一览表”有关内容及投标文件的修改、撤消和招标代理机构认为合适的其它内容。</w:t>
      </w:r>
    </w:p>
    <w:p>
      <w:pPr>
        <w:autoSpaceDE w:val="0"/>
        <w:autoSpaceDN w:val="0"/>
        <w:adjustRightInd w:val="0"/>
        <w:spacing w:line="480" w:lineRule="exact"/>
        <w:ind w:left="120" w:hanging="120"/>
        <w:jc w:val="left"/>
        <w:rPr>
          <w:rFonts w:ascii="宋体" w:hAnsi="宋体" w:cs="宋体"/>
          <w:sz w:val="24"/>
        </w:rPr>
      </w:pPr>
      <w:r>
        <w:rPr>
          <w:rFonts w:hint="eastAsia" w:ascii="宋体" w:hAnsi="宋体" w:cs="宋体"/>
          <w:sz w:val="24"/>
        </w:rPr>
        <w:t xml:space="preserve">    20.3 有效证件</w:t>
      </w:r>
    </w:p>
    <w:p>
      <w:pPr>
        <w:spacing w:line="480" w:lineRule="exact"/>
        <w:ind w:firstLine="482" w:firstLineChars="200"/>
        <w:rPr>
          <w:rFonts w:ascii="宋体" w:hAnsi="宋体" w:cs="宋体"/>
          <w:b/>
          <w:color w:val="000000"/>
          <w:sz w:val="24"/>
        </w:rPr>
      </w:pPr>
      <w:r>
        <w:rPr>
          <w:rFonts w:hint="eastAsia" w:ascii="宋体" w:hAnsi="宋体" w:cs="宋体"/>
          <w:b/>
          <w:color w:val="000000"/>
          <w:sz w:val="24"/>
        </w:rPr>
        <w:t>开标时，请各投标人随身携带以下有效证件的原件以备查验：</w:t>
      </w:r>
    </w:p>
    <w:p>
      <w:pPr>
        <w:numPr>
          <w:ilvl w:val="0"/>
          <w:numId w:val="7"/>
        </w:numPr>
        <w:spacing w:line="480" w:lineRule="exact"/>
        <w:ind w:firstLine="482" w:firstLineChars="200"/>
        <w:rPr>
          <w:rFonts w:hint="eastAsia" w:ascii="宋体" w:hAnsi="宋体" w:cs="宋体"/>
          <w:b/>
          <w:color w:val="0000FF"/>
          <w:sz w:val="24"/>
          <w:highlight w:val="none"/>
          <w:lang w:eastAsia="zh-CN"/>
        </w:rPr>
      </w:pPr>
      <w:r>
        <w:rPr>
          <w:rFonts w:hint="eastAsia" w:ascii="宋体" w:hAnsi="宋体" w:eastAsia="宋体" w:cs="宋体"/>
          <w:b/>
          <w:color w:val="0000FF"/>
          <w:sz w:val="24"/>
          <w:highlight w:val="none"/>
          <w:lang w:val="en-US" w:eastAsia="zh-CN"/>
        </w:rPr>
        <w:t>有效的营业执照、税务登记证、组织机构代码证（或</w:t>
      </w:r>
      <w:r>
        <w:rPr>
          <w:rFonts w:hint="eastAsia" w:ascii="宋体" w:hAnsi="宋体" w:eastAsia="宋体" w:cs="宋体"/>
          <w:b/>
          <w:color w:val="0000FF"/>
          <w:sz w:val="24"/>
          <w:highlight w:val="none"/>
        </w:rPr>
        <w:t>三证合一营业执照</w:t>
      </w:r>
      <w:r>
        <w:rPr>
          <w:rFonts w:hint="eastAsia" w:ascii="宋体" w:hAnsi="宋体" w:eastAsia="宋体" w:cs="宋体"/>
          <w:b/>
          <w:color w:val="0000FF"/>
          <w:sz w:val="24"/>
          <w:highlight w:val="none"/>
          <w:lang w:eastAsia="zh-CN"/>
        </w:rPr>
        <w:t>）</w:t>
      </w:r>
      <w:r>
        <w:rPr>
          <w:rFonts w:hint="eastAsia" w:ascii="宋体" w:hAnsi="宋体" w:cs="宋体"/>
          <w:b/>
          <w:color w:val="0000FF"/>
          <w:sz w:val="24"/>
          <w:highlight w:val="none"/>
          <w:lang w:eastAsia="zh-CN"/>
        </w:rPr>
        <w:t>；</w:t>
      </w:r>
    </w:p>
    <w:p>
      <w:pPr>
        <w:numPr>
          <w:ilvl w:val="0"/>
          <w:numId w:val="0"/>
        </w:numPr>
        <w:spacing w:line="480" w:lineRule="exact"/>
        <w:ind w:leftChars="200" w:right="62" w:rightChars="0"/>
        <w:rPr>
          <w:rFonts w:ascii="宋体" w:hAnsi="宋体" w:cs="宋体"/>
          <w:b/>
          <w:color w:val="0000FF"/>
          <w:sz w:val="24"/>
          <w:highlight w:val="none"/>
        </w:rPr>
      </w:pPr>
      <w:r>
        <w:rPr>
          <w:rFonts w:hint="eastAsia" w:ascii="宋体" w:hAnsi="宋体" w:cs="宋体"/>
          <w:b/>
          <w:color w:val="0000FF"/>
          <w:sz w:val="24"/>
          <w:highlight w:val="none"/>
          <w:lang w:val="en-US" w:eastAsia="zh-CN"/>
        </w:rPr>
        <w:t>2、</w:t>
      </w:r>
      <w:r>
        <w:rPr>
          <w:rFonts w:hint="eastAsia" w:ascii="宋体" w:hAnsi="宋体" w:eastAsia="宋体" w:cs="宋体"/>
          <w:b/>
          <w:color w:val="0000FF"/>
          <w:sz w:val="24"/>
          <w:highlight w:val="none"/>
          <w:lang w:val="en-US" w:eastAsia="zh-CN"/>
        </w:rPr>
        <w:t>建设工程质量检测机构资质证书（须包含主体结构工程检测等专项检测）原件</w:t>
      </w:r>
      <w:r>
        <w:rPr>
          <w:rFonts w:hint="eastAsia" w:ascii="宋体" w:hAnsi="宋体" w:cs="宋体"/>
          <w:b/>
          <w:color w:val="0000FF"/>
          <w:sz w:val="24"/>
          <w:highlight w:val="none"/>
          <w:lang w:val="en-US" w:eastAsia="zh-CN"/>
        </w:rPr>
        <w:t>；</w:t>
      </w:r>
    </w:p>
    <w:p>
      <w:pPr>
        <w:numPr>
          <w:ilvl w:val="0"/>
          <w:numId w:val="0"/>
        </w:numPr>
        <w:spacing w:line="480" w:lineRule="exact"/>
        <w:ind w:leftChars="200" w:right="62" w:rightChars="0"/>
        <w:rPr>
          <w:rFonts w:ascii="宋体" w:hAnsi="宋体" w:cs="宋体"/>
          <w:b/>
          <w:color w:val="0000FF"/>
          <w:sz w:val="24"/>
          <w:highlight w:val="none"/>
        </w:rPr>
      </w:pPr>
      <w:r>
        <w:rPr>
          <w:rFonts w:hint="eastAsia" w:ascii="宋体" w:hAnsi="宋体" w:cs="宋体"/>
          <w:b/>
          <w:color w:val="0000FF"/>
          <w:sz w:val="24"/>
          <w:highlight w:val="none"/>
          <w:lang w:val="en-US" w:eastAsia="zh-CN"/>
        </w:rPr>
        <w:t>3</w:t>
      </w:r>
      <w:r>
        <w:rPr>
          <w:rFonts w:hint="eastAsia" w:ascii="宋体" w:hAnsi="宋体" w:eastAsia="宋体" w:cs="宋体"/>
          <w:b/>
          <w:color w:val="0000FF"/>
          <w:sz w:val="24"/>
          <w:highlight w:val="none"/>
        </w:rPr>
        <w:t>、法人委托人</w:t>
      </w:r>
      <w:r>
        <w:rPr>
          <w:rFonts w:hint="eastAsia" w:ascii="宋体" w:hAnsi="宋体" w:cs="宋体"/>
          <w:b/>
          <w:color w:val="0000FF"/>
          <w:sz w:val="24"/>
          <w:highlight w:val="none"/>
        </w:rPr>
        <w:t>须携带法人代表授权书原件及委托人身份证原件(授权书需附法人身份证及委托人身份证复印件)</w:t>
      </w:r>
      <w:r>
        <w:rPr>
          <w:rFonts w:hint="eastAsia" w:ascii="宋体" w:hAnsi="宋体" w:cs="宋体"/>
          <w:b/>
          <w:color w:val="0000FF"/>
          <w:sz w:val="24"/>
          <w:highlight w:val="none"/>
          <w:lang w:eastAsia="zh-CN"/>
        </w:rPr>
        <w:t>；</w:t>
      </w:r>
    </w:p>
    <w:p>
      <w:pPr>
        <w:spacing w:line="480" w:lineRule="exact"/>
        <w:ind w:firstLine="482" w:firstLineChars="200"/>
        <w:rPr>
          <w:rFonts w:hint="eastAsia" w:ascii="宋体" w:hAnsi="宋体" w:cs="宋体"/>
          <w:b/>
          <w:color w:val="0000FF"/>
          <w:sz w:val="24"/>
          <w:highlight w:val="none"/>
        </w:rPr>
      </w:pPr>
      <w:r>
        <w:rPr>
          <w:rFonts w:hint="eastAsia" w:ascii="宋体" w:hAnsi="宋体" w:cs="宋体"/>
          <w:b/>
          <w:color w:val="0000FF"/>
          <w:sz w:val="24"/>
          <w:highlight w:val="none"/>
          <w:lang w:val="en-US" w:eastAsia="zh-CN"/>
        </w:rPr>
        <w:t>4</w:t>
      </w:r>
      <w:r>
        <w:rPr>
          <w:rFonts w:hint="eastAsia" w:ascii="宋体" w:hAnsi="宋体" w:cs="宋体"/>
          <w:b/>
          <w:color w:val="0000FF"/>
          <w:sz w:val="24"/>
          <w:highlight w:val="none"/>
        </w:rPr>
        <w:t>、</w:t>
      </w:r>
      <w:r>
        <w:rPr>
          <w:rFonts w:hint="eastAsia" w:ascii="宋体" w:hAnsi="宋体" w:cs="宋体"/>
          <w:b/>
          <w:color w:val="0000FF"/>
          <w:sz w:val="24"/>
          <w:highlight w:val="none"/>
          <w:lang w:eastAsia="zh-CN"/>
        </w:rPr>
        <w:t>被授权委托人在本单位缴纳的近</w:t>
      </w:r>
      <w:r>
        <w:rPr>
          <w:rFonts w:hint="eastAsia" w:ascii="宋体" w:hAnsi="宋体" w:cs="宋体"/>
          <w:b/>
          <w:color w:val="0000FF"/>
          <w:sz w:val="24"/>
          <w:highlight w:val="none"/>
          <w:lang w:val="en-US" w:eastAsia="zh-CN"/>
        </w:rPr>
        <w:t>六</w:t>
      </w:r>
      <w:r>
        <w:rPr>
          <w:rFonts w:hint="eastAsia" w:ascii="宋体" w:hAnsi="宋体" w:cs="宋体"/>
          <w:b/>
          <w:color w:val="0000FF"/>
          <w:sz w:val="24"/>
          <w:highlight w:val="none"/>
          <w:lang w:eastAsia="zh-CN"/>
        </w:rPr>
        <w:t>个月内社保缴纳证明（社保缴费凭证原件和个人明细表）；</w:t>
      </w:r>
    </w:p>
    <w:p>
      <w:pPr>
        <w:spacing w:line="480" w:lineRule="exact"/>
        <w:ind w:firstLine="482" w:firstLineChars="200"/>
        <w:rPr>
          <w:rFonts w:ascii="宋体" w:hAnsi="宋体" w:cs="宋体"/>
          <w:b/>
          <w:color w:val="0000FF"/>
          <w:sz w:val="24"/>
          <w:highlight w:val="none"/>
        </w:rPr>
      </w:pPr>
      <w:r>
        <w:rPr>
          <w:rFonts w:hint="eastAsia" w:ascii="宋体" w:hAnsi="宋体" w:cs="宋体"/>
          <w:b/>
          <w:color w:val="0000FF"/>
          <w:sz w:val="24"/>
          <w:highlight w:val="none"/>
          <w:lang w:val="en-US" w:eastAsia="zh-CN"/>
        </w:rPr>
        <w:t>5</w:t>
      </w:r>
      <w:r>
        <w:rPr>
          <w:rFonts w:hint="eastAsia" w:ascii="宋体" w:hAnsi="宋体" w:cs="宋体"/>
          <w:b/>
          <w:color w:val="0000FF"/>
          <w:sz w:val="24"/>
          <w:highlight w:val="none"/>
        </w:rPr>
        <w:t>、</w:t>
      </w:r>
      <w:r>
        <w:rPr>
          <w:rFonts w:hint="eastAsia" w:ascii="宋体" w:hAnsi="宋体" w:cs="宋体"/>
          <w:b/>
          <w:color w:val="0000FF"/>
          <w:sz w:val="24"/>
          <w:highlight w:val="none"/>
          <w:lang w:val="en-US" w:eastAsia="zh-CN"/>
        </w:rPr>
        <w:t>具有良好的商业信誉和健全的财务会计制度（提供2019年度财务审计报告）</w:t>
      </w:r>
      <w:r>
        <w:rPr>
          <w:rFonts w:hint="eastAsia" w:ascii="宋体" w:hAnsi="宋体" w:cs="宋体"/>
          <w:b/>
          <w:color w:val="0000FF"/>
          <w:sz w:val="24"/>
          <w:highlight w:val="none"/>
        </w:rPr>
        <w:t>。</w:t>
      </w:r>
    </w:p>
    <w:p>
      <w:pPr>
        <w:spacing w:line="480" w:lineRule="exact"/>
        <w:ind w:firstLine="482" w:firstLineChars="200"/>
        <w:rPr>
          <w:rFonts w:hint="eastAsia" w:ascii="宋体" w:hAnsi="宋体" w:eastAsia="宋体" w:cs="宋体"/>
          <w:b/>
          <w:color w:val="0000FF"/>
          <w:sz w:val="24"/>
          <w:lang w:val="en-US" w:eastAsia="zh-CN"/>
        </w:rPr>
      </w:pPr>
      <w:r>
        <w:rPr>
          <w:rFonts w:hint="eastAsia" w:ascii="宋体" w:hAnsi="宋体" w:cs="宋体"/>
          <w:b/>
          <w:color w:val="0000FF"/>
          <w:sz w:val="24"/>
          <w:lang w:val="en-US" w:eastAsia="zh-CN"/>
        </w:rPr>
        <w:t>6</w:t>
      </w:r>
      <w:r>
        <w:rPr>
          <w:rFonts w:hint="eastAsia" w:ascii="宋体" w:hAnsi="宋体" w:cs="宋体"/>
          <w:b/>
          <w:color w:val="0000FF"/>
          <w:sz w:val="24"/>
        </w:rPr>
        <w:t>、投标保证金转账凭证</w:t>
      </w:r>
      <w:r>
        <w:rPr>
          <w:rFonts w:hint="eastAsia" w:ascii="宋体" w:hAnsi="宋体" w:cs="宋体"/>
          <w:b/>
          <w:color w:val="0000FF"/>
          <w:sz w:val="24"/>
          <w:lang w:eastAsia="zh-CN"/>
        </w:rPr>
        <w:t>。</w:t>
      </w:r>
    </w:p>
    <w:p>
      <w:pPr>
        <w:spacing w:line="480" w:lineRule="exact"/>
        <w:ind w:firstLine="482" w:firstLineChars="200"/>
        <w:rPr>
          <w:rFonts w:ascii="宋体" w:hAnsi="宋体" w:cs="宋体"/>
          <w:b/>
          <w:color w:val="000000"/>
          <w:sz w:val="24"/>
        </w:rPr>
      </w:pPr>
      <w:r>
        <w:rPr>
          <w:rFonts w:hint="eastAsia" w:ascii="宋体" w:hAnsi="宋体" w:cs="宋体"/>
          <w:b/>
          <w:color w:val="0000FF"/>
          <w:sz w:val="24"/>
        </w:rPr>
        <w:t>未通过资质查验的投标文件将</w:t>
      </w:r>
      <w:r>
        <w:rPr>
          <w:rFonts w:hint="eastAsia" w:ascii="宋体" w:hAnsi="宋体" w:cs="宋体"/>
          <w:b/>
          <w:color w:val="000000"/>
          <w:sz w:val="24"/>
        </w:rPr>
        <w:t>不予以接受。</w:t>
      </w:r>
    </w:p>
    <w:p>
      <w:pPr>
        <w:spacing w:line="480" w:lineRule="exact"/>
        <w:ind w:firstLine="482" w:firstLineChars="200"/>
        <w:rPr>
          <w:rFonts w:ascii="宋体" w:hAnsi="宋体" w:cs="宋体"/>
          <w:b/>
          <w:color w:val="000000"/>
          <w:sz w:val="24"/>
        </w:rPr>
      </w:pPr>
      <w:r>
        <w:rPr>
          <w:rFonts w:hint="eastAsia" w:ascii="宋体" w:hAnsi="宋体" w:cs="宋体"/>
          <w:b/>
          <w:color w:val="000000"/>
          <w:sz w:val="24"/>
        </w:rPr>
        <w:t>20.4投标人的法定代表人或被授权人未准时参加开标会议的视为自动弃权。</w:t>
      </w:r>
    </w:p>
    <w:p>
      <w:pPr>
        <w:spacing w:line="500" w:lineRule="exact"/>
        <w:ind w:left="120" w:hanging="120"/>
        <w:jc w:val="center"/>
        <w:rPr>
          <w:rFonts w:ascii="宋体" w:hAnsi="宋体" w:cs="宋体"/>
          <w:b/>
          <w:sz w:val="24"/>
        </w:rPr>
      </w:pPr>
    </w:p>
    <w:p>
      <w:pPr>
        <w:spacing w:line="500" w:lineRule="exact"/>
        <w:ind w:left="120" w:hanging="120"/>
        <w:jc w:val="center"/>
        <w:rPr>
          <w:rFonts w:ascii="宋体" w:hAnsi="宋体" w:cs="宋体"/>
          <w:b/>
          <w:sz w:val="24"/>
        </w:rPr>
      </w:pPr>
      <w:r>
        <w:rPr>
          <w:rFonts w:hint="eastAsia" w:ascii="宋体" w:hAnsi="宋体" w:cs="宋体"/>
          <w:b/>
          <w:sz w:val="24"/>
        </w:rPr>
        <w:t>六、评标、定标</w:t>
      </w:r>
    </w:p>
    <w:p>
      <w:pPr>
        <w:spacing w:line="500" w:lineRule="exact"/>
        <w:ind w:firstLine="482" w:firstLineChars="200"/>
        <w:rPr>
          <w:rFonts w:ascii="宋体" w:hAnsi="宋体" w:cs="宋体"/>
          <w:b/>
          <w:sz w:val="24"/>
        </w:rPr>
      </w:pPr>
      <w:r>
        <w:rPr>
          <w:rFonts w:hint="eastAsia" w:ascii="宋体" w:hAnsi="宋体" w:cs="宋体"/>
          <w:b/>
          <w:sz w:val="24"/>
        </w:rPr>
        <w:t>21、评标</w:t>
      </w:r>
    </w:p>
    <w:p>
      <w:pPr>
        <w:spacing w:line="500" w:lineRule="exact"/>
        <w:ind w:firstLine="480" w:firstLineChars="200"/>
        <w:rPr>
          <w:rFonts w:ascii="宋体" w:hAnsi="宋体" w:cs="宋体"/>
          <w:sz w:val="24"/>
        </w:rPr>
      </w:pPr>
      <w:r>
        <w:rPr>
          <w:rFonts w:hint="eastAsia" w:ascii="宋体" w:hAnsi="宋体" w:cs="宋体"/>
          <w:sz w:val="24"/>
        </w:rPr>
        <w:t xml:space="preserve">21.1  </w:t>
      </w:r>
      <w:r>
        <w:rPr>
          <w:rFonts w:hint="eastAsia" w:ascii="宋体" w:hAnsi="宋体" w:cs="宋体"/>
          <w:b/>
          <w:sz w:val="24"/>
        </w:rPr>
        <w:t xml:space="preserve">评标委员会或评标小组 </w:t>
      </w:r>
    </w:p>
    <w:p>
      <w:pPr>
        <w:spacing w:line="500" w:lineRule="exact"/>
        <w:ind w:left="120" w:hanging="120"/>
        <w:rPr>
          <w:rFonts w:ascii="宋体" w:hAnsi="宋体" w:cs="宋体"/>
          <w:sz w:val="24"/>
        </w:rPr>
      </w:pPr>
      <w:r>
        <w:rPr>
          <w:rFonts w:hint="eastAsia" w:ascii="宋体" w:hAnsi="宋体" w:cs="宋体"/>
          <w:sz w:val="24"/>
        </w:rPr>
        <w:t xml:space="preserve">    21.1.1评标委员会或评标小组（以下简称评标委员会）的评标工作由招标单位负责组织，具体评标事务由评标委员会负责，并独立履行其法规规定的职责。</w:t>
      </w:r>
    </w:p>
    <w:p>
      <w:pPr>
        <w:spacing w:line="500" w:lineRule="exact"/>
        <w:ind w:left="120" w:hanging="120"/>
        <w:rPr>
          <w:rFonts w:ascii="宋体" w:hAnsi="宋体" w:cs="宋体"/>
          <w:sz w:val="24"/>
        </w:rPr>
      </w:pPr>
      <w:r>
        <w:rPr>
          <w:rFonts w:hint="eastAsia" w:ascii="宋体" w:hAnsi="宋体" w:cs="宋体"/>
          <w:sz w:val="24"/>
        </w:rPr>
        <w:t xml:space="preserve">    21.1.2评标委员会由招标人和专家库中熟悉相关技术的专家组成，成员人数为五人以上的单数，其中熟悉相关技术方面的专家不得少于成员总数的三之二。评标委员会设负责人的，评标委员会负责人由评标委员会推举产生或者由招标人确定。评标委员会负责人与评标委员会的其他成员有同等的表决权。</w:t>
      </w:r>
    </w:p>
    <w:p>
      <w:pPr>
        <w:spacing w:line="500" w:lineRule="exact"/>
        <w:ind w:left="120" w:hanging="120"/>
        <w:rPr>
          <w:rFonts w:ascii="宋体" w:hAnsi="宋体" w:cs="宋体"/>
          <w:sz w:val="24"/>
        </w:rPr>
      </w:pPr>
      <w:r>
        <w:rPr>
          <w:rFonts w:hint="eastAsia" w:ascii="宋体" w:hAnsi="宋体" w:cs="宋体"/>
          <w:sz w:val="24"/>
        </w:rPr>
        <w:t xml:space="preserve">    21.1.3  评标委员会或评标小组负责具体的评标事务，并独立履行以下职责：</w:t>
      </w:r>
    </w:p>
    <w:p>
      <w:pPr>
        <w:spacing w:line="500" w:lineRule="exact"/>
        <w:ind w:left="120" w:hanging="120"/>
        <w:rPr>
          <w:rFonts w:ascii="宋体" w:hAnsi="宋体" w:cs="宋体"/>
          <w:sz w:val="24"/>
        </w:rPr>
      </w:pPr>
      <w:r>
        <w:rPr>
          <w:rFonts w:hint="eastAsia" w:ascii="宋体" w:hAnsi="宋体" w:cs="宋体"/>
          <w:sz w:val="24"/>
        </w:rPr>
        <w:t xml:space="preserve">    21.1.3.1 审查投标文件是否符合招标文件的要求，并作出评价；</w:t>
      </w:r>
    </w:p>
    <w:p>
      <w:pPr>
        <w:spacing w:line="500" w:lineRule="exact"/>
        <w:ind w:left="120" w:hanging="120"/>
        <w:rPr>
          <w:rFonts w:ascii="宋体" w:hAnsi="宋体" w:cs="宋体"/>
          <w:sz w:val="24"/>
        </w:rPr>
      </w:pPr>
      <w:r>
        <w:rPr>
          <w:rFonts w:hint="eastAsia" w:ascii="宋体" w:hAnsi="宋体" w:cs="宋体"/>
          <w:sz w:val="24"/>
        </w:rPr>
        <w:t xml:space="preserve">    21.1.3.2 可以要求投标供应商对投标文件有关事项作出解释或澄清；</w:t>
      </w:r>
    </w:p>
    <w:p>
      <w:pPr>
        <w:spacing w:line="500" w:lineRule="exact"/>
        <w:ind w:left="120" w:hanging="120"/>
        <w:rPr>
          <w:rFonts w:ascii="宋体" w:hAnsi="宋体" w:cs="宋体"/>
          <w:sz w:val="24"/>
        </w:rPr>
      </w:pPr>
      <w:r>
        <w:rPr>
          <w:rFonts w:hint="eastAsia" w:ascii="宋体" w:hAnsi="宋体" w:cs="宋体"/>
          <w:sz w:val="24"/>
        </w:rPr>
        <w:t xml:space="preserve">    21.1.3.3 推荐中标候选供应商名单，或者受招标人委托按照事先确定的办法直接确定中标人；</w:t>
      </w:r>
    </w:p>
    <w:p>
      <w:pPr>
        <w:spacing w:line="500" w:lineRule="exact"/>
        <w:ind w:left="120" w:hanging="120"/>
        <w:rPr>
          <w:rFonts w:ascii="宋体" w:hAnsi="宋体" w:cs="宋体"/>
          <w:sz w:val="24"/>
        </w:rPr>
      </w:pPr>
      <w:r>
        <w:rPr>
          <w:rFonts w:hint="eastAsia" w:ascii="宋体" w:hAnsi="宋体" w:cs="宋体"/>
          <w:sz w:val="24"/>
        </w:rPr>
        <w:t xml:space="preserve">    21.1.3.4 向招标单位或者有关部门报告非法干预评标工作的行为。</w:t>
      </w:r>
    </w:p>
    <w:p>
      <w:pPr>
        <w:spacing w:line="500" w:lineRule="exact"/>
        <w:ind w:left="120" w:hanging="120"/>
        <w:rPr>
          <w:rFonts w:ascii="宋体" w:hAnsi="宋体" w:cs="宋体"/>
          <w:sz w:val="24"/>
        </w:rPr>
      </w:pPr>
      <w:r>
        <w:rPr>
          <w:rFonts w:hint="eastAsia" w:ascii="宋体" w:hAnsi="宋体" w:cs="宋体"/>
          <w:sz w:val="24"/>
        </w:rPr>
        <w:t xml:space="preserve">    21.1.4 评标委员会成员应当履行下列义务：</w:t>
      </w:r>
    </w:p>
    <w:p>
      <w:pPr>
        <w:spacing w:line="500" w:lineRule="exact"/>
        <w:ind w:left="120" w:hanging="120"/>
        <w:rPr>
          <w:rFonts w:ascii="宋体" w:hAnsi="宋体" w:cs="宋体"/>
          <w:sz w:val="24"/>
        </w:rPr>
      </w:pPr>
      <w:r>
        <w:rPr>
          <w:rFonts w:hint="eastAsia" w:ascii="宋体" w:hAnsi="宋体" w:cs="宋体"/>
          <w:sz w:val="24"/>
        </w:rPr>
        <w:t xml:space="preserve">    21.1.4.1 遵纪守法，客观、公正、廉洁地履行职责；</w:t>
      </w:r>
    </w:p>
    <w:p>
      <w:pPr>
        <w:spacing w:line="500" w:lineRule="exact"/>
        <w:ind w:left="120" w:hanging="120"/>
        <w:rPr>
          <w:rFonts w:ascii="宋体" w:hAnsi="宋体" w:cs="宋体"/>
          <w:sz w:val="24"/>
        </w:rPr>
      </w:pPr>
      <w:r>
        <w:rPr>
          <w:rFonts w:hint="eastAsia" w:ascii="宋体" w:hAnsi="宋体" w:cs="宋体"/>
          <w:sz w:val="24"/>
        </w:rPr>
        <w:t xml:space="preserve">    21.1.4 .2 按照招标文件规定的评标办法和评标标准进行评标，对评审意见承担个人责任；</w:t>
      </w:r>
    </w:p>
    <w:p>
      <w:pPr>
        <w:spacing w:line="500" w:lineRule="exact"/>
        <w:ind w:left="120" w:hanging="120"/>
        <w:rPr>
          <w:rFonts w:ascii="宋体" w:hAnsi="宋体" w:cs="宋体"/>
          <w:sz w:val="24"/>
        </w:rPr>
      </w:pPr>
      <w:r>
        <w:rPr>
          <w:rFonts w:hint="eastAsia" w:ascii="宋体" w:hAnsi="宋体" w:cs="宋体"/>
          <w:sz w:val="24"/>
        </w:rPr>
        <w:t xml:space="preserve">    21.1.4 .3 对评标过程和结果，以及投标人的商业秘密保密；</w:t>
      </w:r>
    </w:p>
    <w:p>
      <w:pPr>
        <w:spacing w:line="500" w:lineRule="exact"/>
        <w:ind w:left="120" w:hanging="120"/>
        <w:rPr>
          <w:rFonts w:ascii="宋体" w:hAnsi="宋体" w:cs="宋体"/>
          <w:sz w:val="24"/>
        </w:rPr>
      </w:pPr>
      <w:r>
        <w:rPr>
          <w:rFonts w:hint="eastAsia" w:ascii="宋体" w:hAnsi="宋体" w:cs="宋体"/>
          <w:sz w:val="24"/>
        </w:rPr>
        <w:t xml:space="preserve">    21.1.4 .4 参与评标报告的起草；</w:t>
      </w:r>
    </w:p>
    <w:p>
      <w:pPr>
        <w:spacing w:line="500" w:lineRule="exact"/>
        <w:ind w:left="120" w:hanging="120"/>
        <w:rPr>
          <w:rFonts w:ascii="宋体" w:hAnsi="宋体" w:cs="宋体"/>
          <w:sz w:val="24"/>
        </w:rPr>
      </w:pPr>
      <w:r>
        <w:rPr>
          <w:rFonts w:hint="eastAsia" w:ascii="宋体" w:hAnsi="宋体" w:cs="宋体"/>
          <w:sz w:val="24"/>
        </w:rPr>
        <w:t xml:space="preserve">    21.1.4 .5 配合财政部门的投诉处理工作；</w:t>
      </w:r>
    </w:p>
    <w:p>
      <w:pPr>
        <w:spacing w:line="500" w:lineRule="exact"/>
        <w:ind w:left="120" w:hanging="120"/>
        <w:rPr>
          <w:rFonts w:ascii="宋体" w:hAnsi="宋体" w:cs="宋体"/>
          <w:sz w:val="24"/>
        </w:rPr>
      </w:pPr>
      <w:r>
        <w:rPr>
          <w:rFonts w:hint="eastAsia" w:ascii="宋体" w:hAnsi="宋体" w:cs="宋体"/>
          <w:sz w:val="24"/>
        </w:rPr>
        <w:t xml:space="preserve">    21.1.4 .6 配合招标单位答复投标供应商提出的质疑。</w:t>
      </w:r>
    </w:p>
    <w:p>
      <w:pPr>
        <w:spacing w:line="500" w:lineRule="exact"/>
        <w:ind w:firstLine="480" w:firstLineChars="200"/>
        <w:rPr>
          <w:rFonts w:ascii="宋体" w:hAnsi="宋体" w:cs="宋体"/>
          <w:b/>
          <w:sz w:val="24"/>
        </w:rPr>
      </w:pPr>
      <w:r>
        <w:rPr>
          <w:rFonts w:hint="eastAsia" w:ascii="宋体" w:hAnsi="宋体" w:cs="宋体"/>
          <w:sz w:val="24"/>
        </w:rPr>
        <w:t>21.2按国家计委等七部委颁发的《评标委员会和评标方法暂行规定》，结合本工程特点，</w:t>
      </w:r>
      <w:r>
        <w:rPr>
          <w:rFonts w:hint="eastAsia" w:ascii="宋体" w:hAnsi="宋体" w:cs="宋体"/>
          <w:b/>
          <w:sz w:val="24"/>
        </w:rPr>
        <w:t>本项目采用综合评分法，最低报价不是中标的唯一条件，综合评分因素的主要因素为实施方案、价格、人员、财务状况、信誉、业绩、服务以及对招标文件的响应程度等。每一投标人的最终得分为所有评委评分的算数平均值。（总分100分：其中商务部分和方案部分占</w:t>
      </w:r>
      <w:r>
        <w:rPr>
          <w:rFonts w:hint="eastAsia" w:ascii="宋体" w:hAnsi="宋体" w:cs="宋体"/>
          <w:b/>
          <w:sz w:val="24"/>
          <w:lang w:val="en-US" w:eastAsia="zh-CN"/>
        </w:rPr>
        <w:t>70</w:t>
      </w:r>
      <w:r>
        <w:rPr>
          <w:rFonts w:hint="eastAsia" w:ascii="宋体" w:hAnsi="宋体" w:cs="宋体"/>
          <w:b/>
          <w:sz w:val="24"/>
        </w:rPr>
        <w:t>分，投标报价占</w:t>
      </w:r>
      <w:r>
        <w:rPr>
          <w:rFonts w:hint="eastAsia" w:ascii="宋体" w:hAnsi="宋体" w:cs="宋体"/>
          <w:b/>
          <w:sz w:val="24"/>
          <w:lang w:val="en-US" w:eastAsia="zh-CN"/>
        </w:rPr>
        <w:t>30</w:t>
      </w:r>
      <w:r>
        <w:rPr>
          <w:rFonts w:hint="eastAsia" w:ascii="宋体" w:hAnsi="宋体" w:cs="宋体"/>
          <w:b/>
          <w:sz w:val="24"/>
        </w:rPr>
        <w:t xml:space="preserve">分），最终合计得分【为所有评委评分总和的算术平均值】，并按得分由高到低顺序排列，选择前三名投标人依次推荐为第一名、第二名和第三名中标候选人推荐中标候选人。当评标人得分相等时，以评标价较低者优先。  </w:t>
      </w:r>
    </w:p>
    <w:p>
      <w:pPr>
        <w:spacing w:line="500" w:lineRule="exact"/>
        <w:ind w:firstLine="480" w:firstLineChars="200"/>
        <w:rPr>
          <w:rFonts w:ascii="宋体" w:hAnsi="宋体" w:cs="宋体"/>
          <w:sz w:val="24"/>
        </w:rPr>
      </w:pPr>
      <w:r>
        <w:rPr>
          <w:rFonts w:hint="eastAsia" w:ascii="宋体" w:hAnsi="宋体" w:cs="宋体"/>
          <w:sz w:val="24"/>
        </w:rPr>
        <w:t>21.3 评标的依据为招标文件和投标文件。</w:t>
      </w:r>
    </w:p>
    <w:p>
      <w:pPr>
        <w:spacing w:line="500" w:lineRule="exact"/>
        <w:ind w:firstLine="480" w:firstLineChars="200"/>
        <w:rPr>
          <w:rFonts w:ascii="宋体" w:hAnsi="宋体" w:cs="宋体"/>
          <w:sz w:val="24"/>
        </w:rPr>
      </w:pPr>
      <w:r>
        <w:rPr>
          <w:rFonts w:hint="eastAsia" w:ascii="宋体" w:hAnsi="宋体" w:cs="宋体"/>
          <w:sz w:val="24"/>
        </w:rPr>
        <w:t>21.4评标过程的保密性。开标后，直到授予投标人合同止，凡是属于审查、澄清、评价和比较的有关资料以及授标建议等均不得向投标人或其他无关的人员透露。</w:t>
      </w:r>
    </w:p>
    <w:p>
      <w:pPr>
        <w:spacing w:line="500" w:lineRule="exact"/>
        <w:ind w:firstLine="480" w:firstLineChars="200"/>
        <w:rPr>
          <w:rFonts w:ascii="宋体" w:hAnsi="宋体" w:cs="宋体"/>
          <w:sz w:val="24"/>
        </w:rPr>
      </w:pPr>
      <w:r>
        <w:rPr>
          <w:rFonts w:hint="eastAsia" w:ascii="宋体" w:hAnsi="宋体" w:cs="宋体"/>
          <w:sz w:val="24"/>
        </w:rPr>
        <w:t>21.5 投标人在评标过程中所进行的力图影响评标结果、有悖于招标规则的活动，可能导致取消其中标资格。</w:t>
      </w:r>
    </w:p>
    <w:p>
      <w:pPr>
        <w:spacing w:line="500" w:lineRule="exact"/>
        <w:ind w:firstLine="480" w:firstLineChars="200"/>
        <w:rPr>
          <w:rFonts w:hint="eastAsia" w:ascii="宋体" w:hAnsi="宋体" w:cs="宋体"/>
          <w:sz w:val="24"/>
        </w:rPr>
      </w:pPr>
      <w:r>
        <w:rPr>
          <w:rFonts w:hint="eastAsia" w:ascii="宋体" w:hAnsi="宋体" w:cs="宋体"/>
          <w:sz w:val="24"/>
        </w:rPr>
        <w:t>21.6 与招标文件有重大偏离的投标文件将被拒绝。且此重大偏离在开标后不许修改。</w:t>
      </w:r>
    </w:p>
    <w:p>
      <w:pPr>
        <w:spacing w:line="500" w:lineRule="exact"/>
        <w:ind w:firstLine="480" w:firstLineChars="200"/>
        <w:rPr>
          <w:rFonts w:hint="eastAsia" w:ascii="宋体" w:hAnsi="宋体" w:cs="宋体"/>
          <w:sz w:val="24"/>
        </w:rPr>
      </w:pPr>
      <w:r>
        <w:rPr>
          <w:rFonts w:hint="eastAsia" w:ascii="宋体" w:hAnsi="宋体" w:cs="宋体"/>
          <w:sz w:val="24"/>
        </w:rPr>
        <w:t>21.7 根据国家计委等七部委颁发的《评标委员会和评标方法暂行规定》以下为重大偏离：</w:t>
      </w:r>
    </w:p>
    <w:p>
      <w:pPr>
        <w:spacing w:line="500" w:lineRule="exact"/>
        <w:ind w:firstLine="480" w:firstLineChars="200"/>
        <w:rPr>
          <w:rFonts w:ascii="宋体" w:hAnsi="宋体" w:cs="宋体"/>
          <w:color w:val="auto"/>
          <w:sz w:val="24"/>
        </w:rPr>
      </w:pPr>
      <w:r>
        <w:rPr>
          <w:rFonts w:hint="eastAsia" w:ascii="宋体" w:hAnsi="宋体" w:cs="宋体"/>
          <w:color w:val="auto"/>
          <w:sz w:val="24"/>
        </w:rPr>
        <w:t>（一）</w:t>
      </w:r>
      <w:r>
        <w:rPr>
          <w:rFonts w:hint="eastAsia" w:ascii="宋体" w:hAnsi="宋体" w:cs="宋体"/>
          <w:color w:val="auto"/>
          <w:sz w:val="24"/>
          <w:u w:val="single"/>
        </w:rPr>
        <w:t>投标保证金的缴纳主体与投标人不一致的，</w:t>
      </w:r>
      <w:r>
        <w:rPr>
          <w:rFonts w:hint="eastAsia" w:ascii="宋体" w:hAnsi="宋体" w:cs="宋体"/>
          <w:color w:val="auto"/>
          <w:sz w:val="24"/>
        </w:rPr>
        <w:t>没有按照招标文件要求提供投标担保，或者所提供的投标担保有瑕疵的；</w:t>
      </w:r>
    </w:p>
    <w:p>
      <w:pPr>
        <w:spacing w:line="500" w:lineRule="exact"/>
        <w:ind w:firstLine="480" w:firstLineChars="200"/>
        <w:rPr>
          <w:rFonts w:ascii="宋体" w:hAnsi="宋体" w:cs="宋体"/>
          <w:color w:val="auto"/>
          <w:sz w:val="24"/>
        </w:rPr>
      </w:pPr>
      <w:r>
        <w:rPr>
          <w:rFonts w:hint="eastAsia" w:ascii="宋体" w:hAnsi="宋体" w:cs="宋体"/>
          <w:color w:val="auto"/>
          <w:sz w:val="24"/>
        </w:rPr>
        <w:t>（二）投标文件没有投标人法定代表人或其授权代表签字（章）和加盖投标单位公章的；</w:t>
      </w:r>
    </w:p>
    <w:p>
      <w:pPr>
        <w:spacing w:line="500" w:lineRule="exact"/>
        <w:ind w:firstLine="480" w:firstLineChars="200"/>
        <w:rPr>
          <w:rFonts w:ascii="宋体" w:hAnsi="宋体" w:cs="宋体"/>
          <w:color w:val="auto"/>
          <w:sz w:val="24"/>
        </w:rPr>
      </w:pPr>
      <w:r>
        <w:rPr>
          <w:rFonts w:hint="eastAsia" w:ascii="宋体" w:hAnsi="宋体" w:cs="宋体"/>
          <w:color w:val="auto"/>
          <w:sz w:val="24"/>
        </w:rPr>
        <w:t>（三）投标文件记载的招标项目完成期限超过招标文件规定的完成期限；</w:t>
      </w:r>
    </w:p>
    <w:p>
      <w:pPr>
        <w:spacing w:line="500" w:lineRule="exact"/>
        <w:ind w:firstLine="480" w:firstLineChars="200"/>
        <w:rPr>
          <w:rFonts w:ascii="宋体" w:hAnsi="宋体" w:cs="宋体"/>
          <w:color w:val="auto"/>
          <w:sz w:val="24"/>
        </w:rPr>
      </w:pPr>
      <w:r>
        <w:rPr>
          <w:rFonts w:hint="eastAsia" w:ascii="宋体" w:hAnsi="宋体" w:cs="宋体"/>
          <w:color w:val="auto"/>
          <w:sz w:val="24"/>
        </w:rPr>
        <w:t>（四）商务条款有偏离情况的；</w:t>
      </w:r>
    </w:p>
    <w:p>
      <w:pPr>
        <w:spacing w:line="500" w:lineRule="exact"/>
        <w:ind w:firstLine="480" w:firstLineChars="200"/>
        <w:rPr>
          <w:rFonts w:ascii="宋体" w:hAnsi="宋体" w:cs="宋体"/>
          <w:color w:val="auto"/>
          <w:sz w:val="24"/>
        </w:rPr>
      </w:pPr>
      <w:r>
        <w:rPr>
          <w:rFonts w:hint="eastAsia" w:ascii="宋体" w:hAnsi="宋体" w:cs="宋体"/>
          <w:color w:val="auto"/>
          <w:sz w:val="24"/>
        </w:rPr>
        <w:t>（五）投标附有招标人不能接受的条件；</w:t>
      </w:r>
    </w:p>
    <w:p>
      <w:pPr>
        <w:spacing w:line="50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（六）不符合招标文件中规定的其他实质性要求</w:t>
      </w:r>
      <w:r>
        <w:rPr>
          <w:rFonts w:hint="eastAsia" w:ascii="宋体" w:hAnsi="宋体" w:cs="宋体"/>
          <w:color w:val="auto"/>
          <w:sz w:val="24"/>
          <w:lang w:eastAsia="zh-CN"/>
        </w:rPr>
        <w:t>；</w:t>
      </w:r>
    </w:p>
    <w:p>
      <w:pPr>
        <w:spacing w:line="50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（七)</w:t>
      </w:r>
      <w:r>
        <w:rPr>
          <w:rFonts w:hint="eastAsia" w:ascii="宋体" w:hAnsi="宋体" w:cs="宋体"/>
          <w:color w:val="auto"/>
          <w:sz w:val="24"/>
          <w:lang w:val="en-US" w:eastAsia="zh-CN"/>
        </w:rPr>
        <w:t xml:space="preserve"> </w:t>
      </w:r>
      <w:r>
        <w:rPr>
          <w:rFonts w:hint="eastAsia" w:ascii="宋体" w:hAnsi="宋体" w:cs="宋体"/>
          <w:color w:val="auto"/>
          <w:sz w:val="24"/>
        </w:rPr>
        <w:t>投标报价不符合招标文件规定的要求</w:t>
      </w:r>
      <w:r>
        <w:rPr>
          <w:rFonts w:hint="eastAsia" w:ascii="宋体" w:hAnsi="宋体" w:cs="宋体"/>
          <w:color w:val="auto"/>
          <w:sz w:val="24"/>
          <w:lang w:eastAsia="zh-CN"/>
        </w:rPr>
        <w:t>；</w:t>
      </w:r>
    </w:p>
    <w:p>
      <w:pPr>
        <w:spacing w:line="500" w:lineRule="exact"/>
        <w:ind w:firstLine="480" w:firstLineChars="200"/>
        <w:rPr>
          <w:rFonts w:hint="default" w:ascii="宋体" w:hAnsi="宋体" w:cs="宋体"/>
          <w:color w:val="auto"/>
          <w:sz w:val="24"/>
          <w:lang w:val="en-US" w:eastAsia="zh-CN"/>
        </w:rPr>
      </w:pPr>
      <w:r>
        <w:rPr>
          <w:rFonts w:hint="eastAsia" w:ascii="宋体" w:hAnsi="宋体" w:cs="宋体"/>
          <w:color w:val="auto"/>
          <w:sz w:val="24"/>
          <w:lang w:eastAsia="zh-CN"/>
        </w:rPr>
        <w:t>（</w:t>
      </w:r>
      <w:r>
        <w:rPr>
          <w:rFonts w:hint="eastAsia" w:ascii="宋体" w:hAnsi="宋体" w:cs="宋体"/>
          <w:color w:val="auto"/>
          <w:sz w:val="24"/>
          <w:lang w:val="en-US" w:eastAsia="zh-CN"/>
        </w:rPr>
        <w:t>八）法律法规规定的其他情形。</w:t>
      </w:r>
    </w:p>
    <w:p>
      <w:pPr>
        <w:spacing w:line="500" w:lineRule="exact"/>
        <w:ind w:firstLine="480" w:firstLineChars="200"/>
        <w:rPr>
          <w:rFonts w:ascii="宋体" w:hAnsi="宋体" w:cs="宋体"/>
          <w:sz w:val="24"/>
        </w:rPr>
      </w:pPr>
      <w:r>
        <w:rPr>
          <w:rFonts w:hint="eastAsia" w:ascii="宋体" w:hAnsi="宋体" w:cs="宋体"/>
          <w:sz w:val="24"/>
        </w:rPr>
        <w:t>投标文件有上述情形之一的，视为非实质性响应招标，并按规定作废标处理。招标文件对重大偏差另有规定的，从其规定。</w:t>
      </w:r>
    </w:p>
    <w:p>
      <w:pPr>
        <w:spacing w:line="500" w:lineRule="exact"/>
        <w:ind w:firstLine="480" w:firstLineChars="200"/>
        <w:rPr>
          <w:rFonts w:ascii="宋体" w:hAnsi="宋体" w:cs="宋体"/>
          <w:sz w:val="24"/>
        </w:rPr>
      </w:pPr>
      <w:r>
        <w:rPr>
          <w:rFonts w:hint="eastAsia" w:ascii="宋体" w:hAnsi="宋体" w:cs="宋体"/>
          <w:sz w:val="24"/>
        </w:rPr>
        <w:t>评标委员会应当审查每一投标文件是否对招标文件提出的所有实质性要求和条件作出响应。未能在实质上响应招标的投标，将作废标处理。</w:t>
      </w:r>
    </w:p>
    <w:p>
      <w:pPr>
        <w:spacing w:line="500" w:lineRule="exact"/>
        <w:ind w:firstLine="482" w:firstLineChars="200"/>
        <w:rPr>
          <w:rFonts w:ascii="宋体" w:hAnsi="宋体" w:cs="宋体"/>
          <w:b/>
          <w:sz w:val="24"/>
        </w:rPr>
      </w:pPr>
      <w:r>
        <w:rPr>
          <w:rFonts w:hint="eastAsia" w:ascii="宋体" w:hAnsi="宋体" w:cs="宋体"/>
          <w:b/>
          <w:sz w:val="24"/>
        </w:rPr>
        <w:t>22、对投标文件的初步审查和响应性确定</w:t>
      </w:r>
    </w:p>
    <w:p>
      <w:pPr>
        <w:spacing w:line="500" w:lineRule="exact"/>
        <w:ind w:firstLine="480" w:firstLineChars="200"/>
        <w:rPr>
          <w:rFonts w:ascii="宋体" w:hAnsi="宋体" w:cs="宋体"/>
          <w:color w:val="auto"/>
          <w:sz w:val="24"/>
        </w:rPr>
      </w:pPr>
      <w:r>
        <w:rPr>
          <w:rFonts w:hint="eastAsia" w:ascii="宋体" w:hAnsi="宋体" w:cs="宋体"/>
          <w:sz w:val="24"/>
        </w:rPr>
        <w:t>22.1 开标后招标人将审查投标文件</w:t>
      </w:r>
      <w:r>
        <w:rPr>
          <w:rFonts w:hint="eastAsia" w:ascii="宋体" w:hAnsi="宋体" w:cs="宋体"/>
          <w:color w:val="auto"/>
          <w:sz w:val="24"/>
        </w:rPr>
        <w:t>的完整性、准确性以及保证金提交、文件签署情况。在审查时，投标报价大写与数字有出入，以大写金额为准。若投标人拒绝接受上述修正，其投标将可能被拒绝。</w:t>
      </w:r>
    </w:p>
    <w:p>
      <w:pPr>
        <w:spacing w:line="500" w:lineRule="exact"/>
        <w:ind w:firstLine="480" w:firstLineChars="200"/>
        <w:rPr>
          <w:rFonts w:ascii="宋体" w:hAnsi="宋体" w:cs="宋体"/>
          <w:sz w:val="24"/>
        </w:rPr>
      </w:pPr>
      <w:r>
        <w:rPr>
          <w:rFonts w:hint="eastAsia" w:ascii="宋体" w:hAnsi="宋体" w:cs="宋体"/>
          <w:sz w:val="24"/>
        </w:rPr>
        <w:t>22.2 在对投标文件进行详细评估之前，评标委员会将审查每一份投标文件是否对招标文件的要求作出了实质性的响应。实质性响应的投标文件应该是与招标文件的全部条款、条件和技术规格相符，而没有重大偏离。</w:t>
      </w:r>
    </w:p>
    <w:p>
      <w:pPr>
        <w:spacing w:line="500" w:lineRule="exact"/>
        <w:ind w:firstLine="480" w:firstLineChars="200"/>
        <w:rPr>
          <w:rFonts w:ascii="宋体" w:hAnsi="宋体" w:cs="宋体"/>
          <w:sz w:val="24"/>
        </w:rPr>
      </w:pPr>
      <w:r>
        <w:rPr>
          <w:rFonts w:hint="eastAsia" w:ascii="宋体" w:hAnsi="宋体" w:cs="宋体"/>
          <w:sz w:val="24"/>
        </w:rPr>
        <w:t>22.3招标人判断投标文件的响应性是基于投标文件本身而不靠外部证据。</w:t>
      </w:r>
    </w:p>
    <w:p>
      <w:pPr>
        <w:spacing w:line="500" w:lineRule="exact"/>
        <w:ind w:firstLine="480" w:firstLineChars="200"/>
        <w:rPr>
          <w:rFonts w:ascii="宋体" w:hAnsi="宋体" w:cs="宋体"/>
          <w:sz w:val="24"/>
        </w:rPr>
      </w:pPr>
      <w:r>
        <w:rPr>
          <w:rFonts w:hint="eastAsia" w:ascii="宋体" w:hAnsi="宋体" w:cs="宋体"/>
          <w:sz w:val="24"/>
        </w:rPr>
        <w:t>22.4 招标人将拒绝被定为非响应性的投标，投标人不能通过修正或撤消不符之处而使其投标成为响应性投标。</w:t>
      </w:r>
    </w:p>
    <w:p>
      <w:pPr>
        <w:keepNext w:val="0"/>
        <w:keepLines w:val="0"/>
        <w:pageBreakBefore w:val="0"/>
        <w:widowControl w:val="0"/>
        <w:kinsoku/>
        <w:wordWrap/>
        <w:overflowPunct/>
        <w:topLinePunct w:val="0"/>
        <w:autoSpaceDE/>
        <w:autoSpaceDN/>
        <w:bidi w:val="0"/>
        <w:adjustRightInd/>
        <w:snapToGrid/>
        <w:ind w:left="0" w:right="0"/>
        <w:jc w:val="left"/>
        <w:textAlignment w:val="auto"/>
        <w:rPr>
          <w:rFonts w:hint="eastAsia" w:ascii="宋体" w:hAnsi="宋体" w:cs="宋体"/>
          <w:b/>
          <w:bCs/>
          <w:sz w:val="24"/>
        </w:rPr>
      </w:pPr>
      <w:r>
        <w:rPr>
          <w:rFonts w:hint="eastAsia" w:ascii="宋体" w:hAnsi="宋体" w:cs="宋体"/>
          <w:b/>
          <w:bCs/>
          <w:sz w:val="24"/>
        </w:rPr>
        <w:t>22.5投标评审标准：</w:t>
      </w:r>
    </w:p>
    <w:tbl>
      <w:tblPr>
        <w:tblStyle w:val="70"/>
        <w:tblpPr w:leftFromText="180" w:rightFromText="180" w:vertAnchor="text" w:horzAnchor="page" w:tblpX="1229" w:tblpY="474"/>
        <w:tblOverlap w:val="never"/>
        <w:tblW w:w="97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886"/>
        <w:gridCol w:w="6218"/>
        <w:gridCol w:w="791"/>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778"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w:t>
            </w: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序号</w:t>
            </w:r>
          </w:p>
        </w:tc>
        <w:tc>
          <w:tcPr>
            <w:tcW w:w="6218"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评审内容</w:t>
            </w:r>
          </w:p>
        </w:tc>
        <w:tc>
          <w:tcPr>
            <w:tcW w:w="1882" w:type="dxa"/>
            <w:gridSpan w:val="2"/>
            <w:vAlign w:val="center"/>
          </w:tcPr>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评审方法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78" w:type="dxa"/>
            <w:vMerge w:val="restart"/>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资格审查</w:t>
            </w:r>
          </w:p>
        </w:tc>
        <w:tc>
          <w:tcPr>
            <w:tcW w:w="886" w:type="dxa"/>
            <w:vAlign w:val="center"/>
          </w:tcPr>
          <w:p>
            <w:pPr>
              <w:autoSpaceDE w:val="0"/>
              <w:autoSpaceDN w:val="0"/>
              <w:spacing w:line="240" w:lineRule="auto"/>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是否</w:t>
            </w:r>
            <w:r>
              <w:rPr>
                <w:rFonts w:hint="eastAsia" w:ascii="宋体" w:hAnsi="宋体" w:cs="宋体"/>
                <w:color w:val="000000" w:themeColor="text1"/>
                <w:kern w:val="0"/>
                <w:sz w:val="24"/>
                <w:szCs w:val="24"/>
                <w:lang w:val="en-US" w:eastAsia="zh-CN"/>
                <w14:textFill>
                  <w14:solidFill>
                    <w14:schemeClr w14:val="tx1"/>
                  </w14:solidFill>
                </w14:textFill>
              </w:rPr>
              <w:t>提供有效的营业执照、税务登记证、组织机构代码证（或</w:t>
            </w:r>
            <w:r>
              <w:rPr>
                <w:rFonts w:hint="eastAsia" w:ascii="宋体" w:hAnsi="宋体" w:cs="宋体"/>
                <w:color w:val="000000" w:themeColor="text1"/>
                <w:kern w:val="0"/>
                <w:sz w:val="24"/>
                <w:szCs w:val="24"/>
                <w14:textFill>
                  <w14:solidFill>
                    <w14:schemeClr w14:val="tx1"/>
                  </w14:solidFill>
                </w14:textFill>
              </w:rPr>
              <w:t>三证合一营业执照</w:t>
            </w:r>
            <w:r>
              <w:rPr>
                <w:rFonts w:hint="eastAsia" w:ascii="宋体" w:hAnsi="宋体" w:cs="宋体"/>
                <w:color w:val="000000" w:themeColor="text1"/>
                <w:kern w:val="0"/>
                <w:sz w:val="24"/>
                <w:szCs w:val="24"/>
                <w:lang w:eastAsia="zh-CN"/>
                <w14:textFill>
                  <w14:solidFill>
                    <w14:schemeClr w14:val="tx1"/>
                  </w14:solidFill>
                </w14:textFill>
              </w:rPr>
              <w:t>）；</w:t>
            </w:r>
          </w:p>
        </w:tc>
        <w:tc>
          <w:tcPr>
            <w:tcW w:w="791"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通过</w:t>
            </w:r>
          </w:p>
        </w:tc>
        <w:tc>
          <w:tcPr>
            <w:tcW w:w="1091"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不通过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trPr>
        <w:tc>
          <w:tcPr>
            <w:tcW w:w="778"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p>
        </w:tc>
        <w:tc>
          <w:tcPr>
            <w:tcW w:w="6218" w:type="dxa"/>
            <w:vAlign w:val="center"/>
          </w:tcPr>
          <w:p>
            <w:pPr>
              <w:widowControl/>
              <w:spacing w:line="240" w:lineRule="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是否</w:t>
            </w:r>
            <w:r>
              <w:rPr>
                <w:rFonts w:hint="eastAsia" w:ascii="宋体" w:hAnsi="宋体" w:cs="宋体"/>
                <w:color w:val="000000" w:themeColor="text1"/>
                <w:kern w:val="0"/>
                <w:sz w:val="24"/>
                <w:szCs w:val="24"/>
                <w:lang w:val="en-US" w:eastAsia="zh-CN"/>
                <w14:textFill>
                  <w14:solidFill>
                    <w14:schemeClr w14:val="tx1"/>
                  </w14:solidFill>
                </w14:textFill>
              </w:rPr>
              <w:t>提供建设工程质量检测机构资质证书（须包含主体结构工程检测等专项检测）</w:t>
            </w:r>
            <w:r>
              <w:rPr>
                <w:rFonts w:hint="eastAsia" w:ascii="宋体" w:hAnsi="宋体" w:cs="宋体"/>
                <w:color w:val="000000" w:themeColor="text1"/>
                <w:kern w:val="0"/>
                <w:sz w:val="24"/>
                <w:szCs w:val="24"/>
                <w:lang w:eastAsia="zh-CN"/>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778"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p>
        </w:tc>
        <w:tc>
          <w:tcPr>
            <w:tcW w:w="6218" w:type="dxa"/>
            <w:vAlign w:val="center"/>
          </w:tcPr>
          <w:p>
            <w:pPr>
              <w:widowControl/>
              <w:spacing w:line="240" w:lineRule="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是否按规定提交投标保证金的；</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Merge w:val="restart"/>
            <w:vAlign w:val="center"/>
          </w:tcPr>
          <w:p>
            <w:pPr>
              <w:autoSpaceDE w:val="0"/>
              <w:autoSpaceDN w:val="0"/>
              <w:spacing w:line="240" w:lineRule="auto"/>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p>
          <w:p>
            <w:pPr>
              <w:autoSpaceDE w:val="0"/>
              <w:autoSpaceDN w:val="0"/>
              <w:spacing w:line="240" w:lineRule="auto"/>
              <w:jc w:val="center"/>
              <w:rPr>
                <w:color w:val="000000" w:themeColor="text1"/>
                <w:sz w:val="24"/>
                <w:szCs w:val="24"/>
                <w14:textFill>
                  <w14:solidFill>
                    <w14:schemeClr w14:val="tx1"/>
                  </w14:solidFill>
                </w14:textFill>
              </w:rPr>
            </w:pP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符合《政府采购法》第二十二条规定的条件</w:t>
            </w:r>
          </w:p>
          <w:p>
            <w:pPr>
              <w:autoSpaceDE w:val="0"/>
              <w:autoSpaceDN w:val="0"/>
              <w:spacing w:line="240" w:lineRule="auto"/>
              <w:ind w:left="120" w:leftChars="0" w:right="62" w:rightChars="0" w:hanging="120" w:hangingChars="50"/>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（一）具有独立承担民事责任的能力；</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6218" w:type="dxa"/>
            <w:vAlign w:val="center"/>
          </w:tcPr>
          <w:p>
            <w:pPr>
              <w:autoSpaceDE w:val="0"/>
              <w:autoSpaceDN w:val="0"/>
              <w:spacing w:line="240" w:lineRule="auto"/>
              <w:ind w:left="120" w:leftChars="0" w:right="62" w:rightChars="0" w:hanging="120" w:hangingChars="50"/>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（二）具有良好的商业信誉和健全的</w:t>
            </w:r>
            <w:r>
              <w:rPr>
                <w:sz w:val="24"/>
                <w:szCs w:val="24"/>
              </w:rPr>
              <w:fldChar w:fldCharType="begin"/>
            </w:r>
            <w:r>
              <w:rPr>
                <w:sz w:val="24"/>
                <w:szCs w:val="24"/>
              </w:rPr>
              <w:instrText xml:space="preserve"> HYPERLINK "https://www.baidu.com/s?wd=财务会计制度&amp;tn=SE_PcZhidaonwhc_ngpagmjz&amp;rsv_dl=gh_pc_zhidao" </w:instrText>
            </w:r>
            <w:r>
              <w:rPr>
                <w:sz w:val="24"/>
                <w:szCs w:val="24"/>
              </w:rPr>
              <w:fldChar w:fldCharType="separate"/>
            </w:r>
            <w:r>
              <w:rPr>
                <w:rFonts w:hint="eastAsia"/>
                <w:color w:val="000000" w:themeColor="text1"/>
                <w:sz w:val="24"/>
                <w:szCs w:val="24"/>
                <w14:textFill>
                  <w14:solidFill>
                    <w14:schemeClr w14:val="tx1"/>
                  </w14:solidFill>
                </w14:textFill>
              </w:rPr>
              <w:t>财务会计制度</w:t>
            </w:r>
            <w:r>
              <w:rPr>
                <w:rFonts w:hint="eastAsia"/>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6218" w:type="dxa"/>
            <w:vAlign w:val="center"/>
          </w:tcPr>
          <w:p>
            <w:pPr>
              <w:autoSpaceDE w:val="0"/>
              <w:autoSpaceDN w:val="0"/>
              <w:spacing w:line="240" w:lineRule="auto"/>
              <w:ind w:left="120" w:leftChars="0" w:right="62" w:rightChars="0" w:hanging="120" w:hangingChars="50"/>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（三）具有履行合同所必需的设备和专业技术能力；</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6218" w:type="dxa"/>
            <w:vAlign w:val="center"/>
          </w:tcPr>
          <w:p>
            <w:pPr>
              <w:autoSpaceDE w:val="0"/>
              <w:autoSpaceDN w:val="0"/>
              <w:spacing w:line="240" w:lineRule="auto"/>
              <w:ind w:left="120" w:leftChars="0" w:right="62" w:rightChars="0" w:hanging="120" w:hangingChars="50"/>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（四）有依法缴纳税收和</w:t>
            </w:r>
            <w:r>
              <w:rPr>
                <w:sz w:val="24"/>
                <w:szCs w:val="24"/>
              </w:rPr>
              <w:fldChar w:fldCharType="begin"/>
            </w:r>
            <w:r>
              <w:rPr>
                <w:sz w:val="24"/>
                <w:szCs w:val="24"/>
              </w:rPr>
              <w:instrText xml:space="preserve"> HYPERLINK "https://www.baidu.com/s?wd=社会保障资金&amp;tn=SE_PcZhidaonwhc_ngpagmjz&amp;rsv_dl=gh_pc_zhidao" </w:instrText>
            </w:r>
            <w:r>
              <w:rPr>
                <w:sz w:val="24"/>
                <w:szCs w:val="24"/>
              </w:rPr>
              <w:fldChar w:fldCharType="separate"/>
            </w:r>
            <w:r>
              <w:rPr>
                <w:rFonts w:hint="eastAsia"/>
                <w:color w:val="000000" w:themeColor="text1"/>
                <w:sz w:val="24"/>
                <w:szCs w:val="24"/>
                <w14:textFill>
                  <w14:solidFill>
                    <w14:schemeClr w14:val="tx1"/>
                  </w14:solidFill>
                </w14:textFill>
              </w:rPr>
              <w:t>社会保障资金</w:t>
            </w:r>
            <w:r>
              <w:rPr>
                <w:rFonts w:hint="eastAsia"/>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的良好记录；</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6218" w:type="dxa"/>
            <w:vAlign w:val="center"/>
          </w:tcPr>
          <w:p>
            <w:pPr>
              <w:autoSpaceDE w:val="0"/>
              <w:autoSpaceDN w:val="0"/>
              <w:spacing w:line="240" w:lineRule="auto"/>
              <w:ind w:left="120" w:leftChars="0" w:right="62" w:rightChars="0" w:hanging="120" w:hangingChars="50"/>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（五）参加政府采购活动前三年内，在经营活动中没有重大违法记录；</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是否提供</w:t>
            </w:r>
            <w:r>
              <w:rPr>
                <w:rFonts w:hint="eastAsia"/>
                <w:color w:val="000000" w:themeColor="text1"/>
                <w:sz w:val="24"/>
                <w:szCs w:val="24"/>
                <w:lang w:val="en-US" w:eastAsia="zh-CN"/>
                <w14:textFill>
                  <w14:solidFill>
                    <w14:schemeClr w14:val="tx1"/>
                  </w14:solidFill>
                </w14:textFill>
              </w:rPr>
              <w:t>近</w:t>
            </w:r>
            <w:r>
              <w:rPr>
                <w:rFonts w:hint="eastAsia"/>
                <w:color w:val="000000" w:themeColor="text1"/>
                <w:sz w:val="24"/>
                <w:szCs w:val="24"/>
                <w14:textFill>
                  <w14:solidFill>
                    <w14:schemeClr w14:val="tx1"/>
                  </w14:solidFill>
                </w14:textFill>
              </w:rPr>
              <w:t>一年度的审计报告；</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78" w:type="dxa"/>
            <w:vMerge w:val="restart"/>
            <w:vAlign w:val="center"/>
          </w:tcPr>
          <w:p>
            <w:pPr>
              <w:autoSpaceDE w:val="0"/>
              <w:autoSpaceDN w:val="0"/>
              <w:spacing w:line="240" w:lineRule="auto"/>
              <w:jc w:val="center"/>
              <w:rPr>
                <w:color w:val="000000" w:themeColor="text1"/>
                <w:sz w:val="24"/>
                <w:szCs w:val="24"/>
                <w14:textFill>
                  <w14:solidFill>
                    <w14:schemeClr w14:val="tx1"/>
                  </w14:solidFill>
                </w14:textFill>
              </w:rPr>
            </w:pPr>
          </w:p>
          <w:p>
            <w:pPr>
              <w:autoSpaceDE w:val="0"/>
              <w:autoSpaceDN w:val="0"/>
              <w:spacing w:line="240" w:lineRule="auto"/>
              <w:jc w:val="center"/>
              <w:rPr>
                <w:color w:val="000000" w:themeColor="text1"/>
                <w:sz w:val="24"/>
                <w:szCs w:val="24"/>
                <w14:textFill>
                  <w14:solidFill>
                    <w14:schemeClr w14:val="tx1"/>
                  </w14:solidFill>
                </w14:textFill>
              </w:rPr>
            </w:pPr>
          </w:p>
          <w:p>
            <w:pPr>
              <w:autoSpaceDE w:val="0"/>
              <w:autoSpaceDN w:val="0"/>
              <w:spacing w:line="240" w:lineRule="auto"/>
              <w:jc w:val="center"/>
              <w:rPr>
                <w:color w:val="000000" w:themeColor="text1"/>
                <w:sz w:val="24"/>
                <w:szCs w:val="24"/>
                <w14:textFill>
                  <w14:solidFill>
                    <w14:schemeClr w14:val="tx1"/>
                  </w14:solidFill>
                </w14:textFill>
              </w:rPr>
            </w:pPr>
          </w:p>
          <w:p>
            <w:pPr>
              <w:autoSpaceDE w:val="0"/>
              <w:autoSpaceDN w:val="0"/>
              <w:spacing w:line="240" w:lineRule="auto"/>
              <w:jc w:val="center"/>
              <w:rPr>
                <w:color w:val="000000" w:themeColor="text1"/>
                <w:sz w:val="24"/>
                <w:szCs w:val="24"/>
                <w14:textFill>
                  <w14:solidFill>
                    <w14:schemeClr w14:val="tx1"/>
                  </w14:solidFill>
                </w14:textFill>
              </w:rPr>
            </w:pPr>
          </w:p>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响应性</w:t>
            </w:r>
          </w:p>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评审</w:t>
            </w: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投标有效期</w:t>
            </w:r>
            <w:r>
              <w:rPr>
                <w:rFonts w:hint="eastAsia"/>
                <w:color w:val="000000" w:themeColor="text1"/>
                <w:sz w:val="24"/>
                <w:szCs w:val="24"/>
                <w14:textFill>
                  <w14:solidFill>
                    <w14:schemeClr w14:val="tx1"/>
                  </w14:solidFill>
                </w14:textFill>
              </w:rPr>
              <w:t>是否符合招标文件要求；</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778"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投标报价是否超过预算金额；</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投标人是否对同一招标项目做出两个以上报价而未明确效力</w:t>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技术性能、技术参数是否满足招标文件要求</w:t>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服务</w:t>
            </w:r>
            <w:r>
              <w:rPr>
                <w:color w:val="000000" w:themeColor="text1"/>
                <w:sz w:val="24"/>
                <w:szCs w:val="24"/>
                <w14:textFill>
                  <w14:solidFill>
                    <w14:schemeClr w14:val="tx1"/>
                  </w14:solidFill>
                </w14:textFill>
              </w:rPr>
              <w:t>地点是否符合招标文件要求</w:t>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6</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服务</w:t>
            </w:r>
            <w:r>
              <w:rPr>
                <w:color w:val="000000" w:themeColor="text1"/>
                <w:sz w:val="24"/>
                <w:szCs w:val="24"/>
                <w14:textFill>
                  <w14:solidFill>
                    <w14:schemeClr w14:val="tx1"/>
                  </w14:solidFill>
                </w14:textFill>
              </w:rPr>
              <w:t>期是否符合招标文件要求</w:t>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7</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投标文件是否附有招标人不能接受的条件</w:t>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bl>
    <w:p>
      <w:pPr>
        <w:pStyle w:val="20"/>
        <w:ind w:left="0" w:leftChars="0" w:firstLine="0" w:firstLineChars="0"/>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详细评审</w:t>
      </w:r>
      <w:r>
        <w:rPr>
          <w:rFonts w:hint="eastAsia" w:ascii="宋体" w:hAnsi="宋体" w:cs="宋体"/>
          <w:b/>
          <w:bCs/>
          <w:kern w:val="2"/>
          <w:sz w:val="24"/>
          <w:szCs w:val="24"/>
          <w:lang w:val="en-US" w:eastAsia="zh-CN" w:bidi="ar-SA"/>
        </w:rPr>
        <w:t>：</w:t>
      </w:r>
    </w:p>
    <w:tbl>
      <w:tblPr>
        <w:tblStyle w:val="70"/>
        <w:tblW w:w="9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79"/>
        <w:gridCol w:w="2120"/>
        <w:gridCol w:w="6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9" w:hRule="atLeast"/>
          <w:jc w:val="center"/>
        </w:trPr>
        <w:tc>
          <w:tcPr>
            <w:tcW w:w="1079"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bidi="ar"/>
              </w:rPr>
              <w:t>序号</w:t>
            </w:r>
          </w:p>
        </w:tc>
        <w:tc>
          <w:tcPr>
            <w:tcW w:w="2120"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bidi="ar"/>
              </w:rPr>
              <w:t>评分项目</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51" w:hRule="atLeast"/>
          <w:jc w:val="center"/>
        </w:trPr>
        <w:tc>
          <w:tcPr>
            <w:tcW w:w="1079"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1</w:t>
            </w:r>
          </w:p>
        </w:tc>
        <w:tc>
          <w:tcPr>
            <w:tcW w:w="2120"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sz w:val="24"/>
                <w:szCs w:val="24"/>
              </w:rPr>
              <w:t>报价（</w:t>
            </w:r>
            <w:r>
              <w:rPr>
                <w:rFonts w:hint="eastAsia" w:asciiTheme="minorEastAsia" w:hAnsiTheme="minorEastAsia" w:eastAsiaTheme="minorEastAsia" w:cstheme="minorEastAsia"/>
                <w:sz w:val="24"/>
                <w:szCs w:val="24"/>
                <w:lang w:val="en-US" w:eastAsia="zh-CN"/>
              </w:rPr>
              <w:t>30分</w:t>
            </w:r>
            <w:r>
              <w:rPr>
                <w:rFonts w:hint="eastAsia" w:asciiTheme="minorEastAsia" w:hAnsiTheme="minorEastAsia" w:eastAsiaTheme="minorEastAsia" w:cstheme="minorEastAsia"/>
                <w:sz w:val="24"/>
                <w:szCs w:val="24"/>
              </w:rPr>
              <w:t>）</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rPr>
                <w:rFonts w:hint="eastAsia" w:asciiTheme="minorEastAsia" w:hAnsiTheme="minorEastAsia" w:eastAsiaTheme="minorEastAsia" w:cstheme="minorEastAsia"/>
                <w:kern w:val="0"/>
                <w:sz w:val="24"/>
                <w:szCs w:val="24"/>
                <w:lang w:eastAsia="zh-CN" w:bidi="ar"/>
              </w:rPr>
            </w:pPr>
            <w:r>
              <w:rPr>
                <w:rFonts w:hint="eastAsia" w:ascii="宋体" w:hAnsi="宋体" w:cs="宋体"/>
                <w:color w:val="000000"/>
                <w:kern w:val="0"/>
                <w:sz w:val="24"/>
                <w:szCs w:val="22"/>
                <w:highlight w:val="none"/>
              </w:rPr>
              <w:t>投标报价采用综合评分法计算，价格分统一采用低价优先法计算，即满足招标文件要求且投标价格最低的投标报价为评标基准价，其价格分为满分</w:t>
            </w:r>
            <w:r>
              <w:rPr>
                <w:rFonts w:hint="eastAsia" w:ascii="宋体" w:hAnsi="宋体" w:cs="宋体"/>
                <w:color w:val="000000"/>
                <w:kern w:val="0"/>
                <w:sz w:val="24"/>
                <w:szCs w:val="22"/>
                <w:highlight w:val="none"/>
                <w:lang w:eastAsia="zh-CN"/>
              </w:rPr>
              <w:t>。</w:t>
            </w:r>
            <w:r>
              <w:rPr>
                <w:rFonts w:hint="eastAsia" w:asciiTheme="minorEastAsia" w:hAnsiTheme="minorEastAsia" w:eastAsiaTheme="minorEastAsia" w:cstheme="minorEastAsia"/>
                <w:kern w:val="0"/>
                <w:sz w:val="24"/>
                <w:szCs w:val="24"/>
                <w:lang w:bidi="ar"/>
              </w:rPr>
              <w:t>其他投标人的价格分统一按照下列公式计算：投标报价得分=（评标基准价÷投标报价）×价格权值×100。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2" w:hRule="atLeast"/>
          <w:jc w:val="center"/>
        </w:trPr>
        <w:tc>
          <w:tcPr>
            <w:tcW w:w="1079" w:type="dxa"/>
            <w:vMerge w:val="restart"/>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2</w:t>
            </w:r>
          </w:p>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p>
        </w:tc>
        <w:tc>
          <w:tcPr>
            <w:tcW w:w="2120" w:type="dxa"/>
            <w:vMerge w:val="restart"/>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主要人员的配备</w:t>
            </w:r>
          </w:p>
          <w:p>
            <w:pPr>
              <w:pStyle w:val="2"/>
              <w:ind w:firstLine="480" w:firstLineChars="200"/>
              <w:rPr>
                <w:rFonts w:hint="eastAsia" w:eastAsiaTheme="minorEastAsia"/>
                <w:lang w:eastAsia="zh-CN"/>
              </w:rPr>
            </w:pPr>
            <w:r>
              <w:rPr>
                <w:rFonts w:hint="eastAsia" w:asciiTheme="minorEastAsia" w:hAnsiTheme="minorEastAsia" w:eastAsiaTheme="minorEastAsia" w:cstheme="minorEastAsia"/>
                <w:kern w:val="0"/>
                <w:sz w:val="24"/>
                <w:szCs w:val="24"/>
                <w:lang w:eastAsia="zh-CN" w:bidi="ar"/>
              </w:rPr>
              <w:t>（</w:t>
            </w:r>
            <w:r>
              <w:rPr>
                <w:rFonts w:hint="eastAsia" w:asciiTheme="minorEastAsia" w:hAnsiTheme="minorEastAsia" w:eastAsiaTheme="minorEastAsia" w:cstheme="minorEastAsia"/>
                <w:kern w:val="0"/>
                <w:sz w:val="24"/>
                <w:szCs w:val="24"/>
                <w:lang w:val="en-US" w:eastAsia="zh-CN" w:bidi="ar"/>
              </w:rPr>
              <w:t>23分</w:t>
            </w:r>
            <w:r>
              <w:rPr>
                <w:rFonts w:hint="eastAsia" w:asciiTheme="minorEastAsia" w:hAnsiTheme="minorEastAsia" w:eastAsiaTheme="minorEastAsia" w:cstheme="minorEastAsia"/>
                <w:kern w:val="0"/>
                <w:sz w:val="24"/>
                <w:szCs w:val="24"/>
                <w:lang w:eastAsia="zh-CN" w:bidi="ar"/>
              </w:rPr>
              <w:t>）</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rPr>
                <w:rFonts w:hint="default" w:eastAsia="宋体" w:asciiTheme="minorEastAsia" w:hAnsi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参与项目评定</w:t>
            </w:r>
            <w:r>
              <w:rPr>
                <w:rFonts w:hint="eastAsia" w:asciiTheme="minorEastAsia" w:hAnsiTheme="minorEastAsia" w:eastAsiaTheme="minorEastAsia" w:cstheme="minorEastAsia"/>
                <w:color w:val="auto"/>
                <w:kern w:val="0"/>
                <w:sz w:val="24"/>
                <w:szCs w:val="24"/>
                <w:highlight w:val="none"/>
                <w:lang w:bidi="ar"/>
              </w:rPr>
              <w:t>总人数</w:t>
            </w:r>
            <w:r>
              <w:rPr>
                <w:rFonts w:hint="eastAsia" w:asciiTheme="minorEastAsia" w:hAnsiTheme="minorEastAsia" w:eastAsiaTheme="minorEastAsia" w:cstheme="minorEastAsia"/>
                <w:color w:val="auto"/>
                <w:kern w:val="0"/>
                <w:sz w:val="24"/>
                <w:szCs w:val="24"/>
                <w:highlight w:val="none"/>
                <w:lang w:val="en-US" w:eastAsia="zh-CN" w:bidi="ar"/>
              </w:rPr>
              <w:t>不少于15</w:t>
            </w:r>
            <w:r>
              <w:rPr>
                <w:rFonts w:hint="eastAsia" w:asciiTheme="minorEastAsia" w:hAnsiTheme="minorEastAsia" w:eastAsiaTheme="minorEastAsia" w:cstheme="minorEastAsia"/>
                <w:color w:val="auto"/>
                <w:kern w:val="0"/>
                <w:sz w:val="24"/>
                <w:szCs w:val="24"/>
                <w:highlight w:val="none"/>
                <w:lang w:bidi="ar"/>
              </w:rPr>
              <w:t>人</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宋体" w:hAnsi="宋体"/>
                <w:sz w:val="24"/>
                <w:szCs w:val="24"/>
              </w:rPr>
              <w:t>项目人员结构合理，专业齐全，职责任务明确</w:t>
            </w:r>
            <w:r>
              <w:rPr>
                <w:rFonts w:hint="eastAsia" w:ascii="宋体" w:hAnsi="宋体"/>
                <w:sz w:val="24"/>
                <w:szCs w:val="24"/>
                <w:lang w:val="en-US" w:eastAsia="zh-CN"/>
              </w:rPr>
              <w:t>得10分，</w:t>
            </w:r>
            <w:r>
              <w:rPr>
                <w:rFonts w:hint="eastAsia" w:asciiTheme="minorEastAsia" w:hAnsiTheme="minorEastAsia" w:eastAsiaTheme="minorEastAsia" w:cstheme="minorEastAsia"/>
                <w:kern w:val="0"/>
                <w:sz w:val="24"/>
                <w:szCs w:val="24"/>
                <w:lang w:val="en-US" w:eastAsia="zh-CN" w:bidi="ar"/>
              </w:rPr>
              <w:t>每少一人扣1分（至少得0分）、加一人得0.5分（至多得3分）</w:t>
            </w:r>
            <w:r>
              <w:rPr>
                <w:rFonts w:hint="eastAsia" w:asciiTheme="minorEastAsia" w:hAnsiTheme="minorEastAsia" w:eastAsiaTheme="minorEastAsia" w:cstheme="minorEastAsia"/>
                <w:kern w:val="0"/>
                <w:sz w:val="24"/>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7" w:hRule="atLeast"/>
          <w:jc w:val="center"/>
        </w:trPr>
        <w:tc>
          <w:tcPr>
            <w:tcW w:w="1079" w:type="dxa"/>
            <w:vMerge w:val="continue"/>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pPr>
          </w:p>
        </w:tc>
        <w:tc>
          <w:tcPr>
            <w:tcW w:w="2120" w:type="dxa"/>
            <w:vMerge w:val="continue"/>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pP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项目负责人</w:t>
            </w:r>
            <w:r>
              <w:rPr>
                <w:rFonts w:hint="eastAsia" w:asciiTheme="minorEastAsia" w:hAnsiTheme="minorEastAsia" w:eastAsiaTheme="minorEastAsia" w:cstheme="minorEastAsia"/>
                <w:kern w:val="0"/>
                <w:sz w:val="24"/>
                <w:szCs w:val="24"/>
                <w:lang w:val="en-US" w:eastAsia="zh-CN" w:bidi="ar"/>
              </w:rPr>
              <w:t>为</w:t>
            </w:r>
            <w:r>
              <w:rPr>
                <w:rFonts w:hint="eastAsia" w:ascii="宋体" w:hAnsi="宋体"/>
                <w:sz w:val="24"/>
                <w:szCs w:val="24"/>
              </w:rPr>
              <w:t>高级工程师</w:t>
            </w:r>
            <w:r>
              <w:rPr>
                <w:rFonts w:hint="eastAsia" w:ascii="宋体" w:hAnsi="宋体"/>
                <w:sz w:val="24"/>
                <w:szCs w:val="24"/>
                <w:lang w:val="en-US" w:eastAsia="zh-CN"/>
              </w:rPr>
              <w:t>职称且从事相关检测工作3年以上</w:t>
            </w:r>
            <w:r>
              <w:rPr>
                <w:rFonts w:hint="eastAsia" w:asciiTheme="minorEastAsia" w:hAnsiTheme="minorEastAsia" w:eastAsiaTheme="minorEastAsia" w:cstheme="minorEastAsia"/>
                <w:kern w:val="0"/>
                <w:sz w:val="24"/>
                <w:szCs w:val="24"/>
                <w:lang w:bidi="ar"/>
              </w:rPr>
              <w:t>得</w:t>
            </w:r>
            <w:r>
              <w:rPr>
                <w:rFonts w:hint="eastAsia" w:asciiTheme="minorEastAsia" w:hAnsiTheme="minorEastAsia" w:eastAsiaTheme="minorEastAsia" w:cstheme="minorEastAsia"/>
                <w:kern w:val="0"/>
                <w:sz w:val="24"/>
                <w:szCs w:val="24"/>
                <w:lang w:val="en-US" w:eastAsia="zh-CN" w:bidi="ar"/>
              </w:rPr>
              <w:t>5</w:t>
            </w:r>
            <w:r>
              <w:rPr>
                <w:rFonts w:hint="eastAsia" w:asciiTheme="minorEastAsia" w:hAnsiTheme="minorEastAsia" w:eastAsiaTheme="minorEastAsia" w:cstheme="minorEastAsia"/>
                <w:kern w:val="0"/>
                <w:sz w:val="24"/>
                <w:szCs w:val="24"/>
                <w:lang w:bidi="ar"/>
              </w:rPr>
              <w:t>分,</w:t>
            </w:r>
            <w:r>
              <w:rPr>
                <w:rFonts w:hint="eastAsia" w:asciiTheme="minorEastAsia" w:hAnsiTheme="minorEastAsia" w:eastAsiaTheme="minorEastAsia" w:cstheme="minorEastAsia"/>
                <w:kern w:val="0"/>
                <w:sz w:val="24"/>
                <w:szCs w:val="24"/>
                <w:lang w:val="en-US" w:eastAsia="zh-CN" w:bidi="ar"/>
              </w:rPr>
              <w:t>工程师</w:t>
            </w:r>
            <w:r>
              <w:rPr>
                <w:rFonts w:hint="eastAsia" w:asciiTheme="minorEastAsia" w:hAnsiTheme="minorEastAsia" w:eastAsiaTheme="minorEastAsia" w:cstheme="minorEastAsia"/>
                <w:kern w:val="0"/>
                <w:sz w:val="24"/>
                <w:szCs w:val="24"/>
                <w:lang w:bidi="ar"/>
              </w:rPr>
              <w:t>职称得</w:t>
            </w:r>
            <w:r>
              <w:rPr>
                <w:rFonts w:hint="eastAsia" w:asciiTheme="minorEastAsia" w:hAnsiTheme="minorEastAsia" w:eastAsiaTheme="minorEastAsia" w:cstheme="minorEastAsia"/>
                <w:kern w:val="0"/>
                <w:sz w:val="24"/>
                <w:szCs w:val="24"/>
                <w:lang w:val="en-US" w:eastAsia="zh-CN" w:bidi="ar"/>
              </w:rPr>
              <w:t>2</w:t>
            </w:r>
            <w:r>
              <w:rPr>
                <w:rFonts w:hint="eastAsia" w:asciiTheme="minorEastAsia" w:hAnsiTheme="minorEastAsia" w:eastAsiaTheme="minorEastAsia" w:cstheme="minorEastAsia"/>
                <w:kern w:val="0"/>
                <w:sz w:val="24"/>
                <w:szCs w:val="24"/>
                <w:lang w:bidi="ar"/>
              </w:rPr>
              <w:t>分，否则不得分（以资格证复印件作为评判）。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66" w:hRule="atLeast"/>
          <w:jc w:val="center"/>
        </w:trPr>
        <w:tc>
          <w:tcPr>
            <w:tcW w:w="1079" w:type="dxa"/>
            <w:vMerge w:val="continue"/>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p>
        </w:tc>
        <w:tc>
          <w:tcPr>
            <w:tcW w:w="2120" w:type="dxa"/>
            <w:vMerge w:val="continue"/>
            <w:vAlign w:val="center"/>
          </w:tcPr>
          <w:p>
            <w:pPr>
              <w:keepNext w:val="0"/>
              <w:keepLines w:val="0"/>
              <w:pageBreakBefore w:val="0"/>
              <w:kinsoku/>
              <w:wordWrap/>
              <w:overflowPunct/>
              <w:topLinePunct w:val="0"/>
              <w:autoSpaceDE/>
              <w:autoSpaceDN/>
              <w:bidi w:val="0"/>
              <w:adjustRightInd w:val="0"/>
              <w:snapToGrid/>
              <w:spacing w:line="340" w:lineRule="exact"/>
              <w:ind w:left="100" w:right="0" w:hanging="100"/>
              <w:jc w:val="center"/>
              <w:textAlignment w:val="center"/>
              <w:rPr>
                <w:rFonts w:hint="eastAsia" w:asciiTheme="minorEastAsia" w:hAnsiTheme="minorEastAsia" w:eastAsiaTheme="minorEastAsia" w:cstheme="minorEastAsia"/>
                <w:kern w:val="0"/>
                <w:sz w:val="24"/>
                <w:szCs w:val="24"/>
                <w:lang w:bidi="ar"/>
              </w:rPr>
            </w:pPr>
          </w:p>
        </w:tc>
        <w:tc>
          <w:tcPr>
            <w:tcW w:w="6244" w:type="dxa"/>
            <w:vAlign w:val="center"/>
          </w:tcPr>
          <w:p>
            <w:pPr>
              <w:spacing w:line="360" w:lineRule="auto"/>
              <w:ind w:left="480" w:hanging="480"/>
              <w:jc w:val="both"/>
              <w:rPr>
                <w:rFonts w:hint="eastAsia" w:asciiTheme="minorEastAsia" w:hAnsiTheme="minorEastAsia" w:eastAsiaTheme="minorEastAsia" w:cstheme="minorEastAsia"/>
                <w:kern w:val="0"/>
                <w:sz w:val="24"/>
                <w:szCs w:val="24"/>
                <w:lang w:eastAsia="zh-CN" w:bidi="ar"/>
              </w:rPr>
            </w:pPr>
            <w:r>
              <w:rPr>
                <w:rFonts w:hint="eastAsia" w:ascii="宋体" w:hAnsi="宋体"/>
                <w:sz w:val="24"/>
                <w:szCs w:val="24"/>
                <w:lang w:val="en-US" w:eastAsia="zh-CN"/>
              </w:rPr>
              <w:t>派驻现场工作的</w:t>
            </w:r>
            <w:r>
              <w:rPr>
                <w:rFonts w:hint="eastAsia" w:ascii="宋体" w:hAnsi="宋体"/>
                <w:sz w:val="24"/>
                <w:szCs w:val="24"/>
              </w:rPr>
              <w:t>其他人员</w:t>
            </w:r>
            <w:r>
              <w:rPr>
                <w:rFonts w:hint="eastAsia" w:ascii="宋体" w:hAnsi="宋体"/>
                <w:sz w:val="24"/>
                <w:szCs w:val="24"/>
                <w:lang w:val="en-US" w:eastAsia="zh-CN"/>
              </w:rPr>
              <w:t>5人以上为工程师职称得5分，助理工程师职称得2分，</w:t>
            </w:r>
            <w:r>
              <w:rPr>
                <w:rFonts w:hint="eastAsia" w:asciiTheme="minorEastAsia" w:hAnsiTheme="minorEastAsia" w:eastAsiaTheme="minorEastAsia" w:cstheme="minorEastAsia"/>
                <w:kern w:val="0"/>
                <w:sz w:val="24"/>
                <w:szCs w:val="24"/>
                <w:lang w:bidi="ar"/>
              </w:rPr>
              <w:t>否则不得分（以资格证复印件作为评判）</w:t>
            </w:r>
            <w:r>
              <w:rPr>
                <w:rFonts w:hint="eastAsia" w:asciiTheme="minorEastAsia" w:hAnsiTheme="minorEastAsia" w:eastAsiaTheme="minorEastAsia" w:cstheme="minorEastAsia"/>
                <w:kern w:val="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9" w:hRule="atLeast"/>
          <w:jc w:val="center"/>
        </w:trPr>
        <w:tc>
          <w:tcPr>
            <w:tcW w:w="1079" w:type="dxa"/>
            <w:vMerge w:val="restart"/>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kern w:val="0"/>
                <w:sz w:val="24"/>
                <w:szCs w:val="24"/>
                <w:lang w:val="en-US" w:eastAsia="zh-CN" w:bidi="ar"/>
              </w:rPr>
              <w:t>4</w:t>
            </w:r>
          </w:p>
        </w:tc>
        <w:tc>
          <w:tcPr>
            <w:tcW w:w="2120" w:type="dxa"/>
            <w:vMerge w:val="restart"/>
            <w:vAlign w:val="center"/>
          </w:tcPr>
          <w:p>
            <w:pPr>
              <w:keepNext w:val="0"/>
              <w:keepLines w:val="0"/>
              <w:pageBreakBefore w:val="0"/>
              <w:widowControl/>
              <w:kinsoku/>
              <w:wordWrap/>
              <w:overflowPunct/>
              <w:topLinePunct w:val="0"/>
              <w:autoSpaceDE/>
              <w:autoSpaceDN/>
              <w:bidi w:val="0"/>
              <w:adjustRightInd w:val="0"/>
              <w:snapToGrid/>
              <w:spacing w:line="340" w:lineRule="exact"/>
              <w:ind w:left="0" w:leftChars="0" w:right="0" w:firstLine="0" w:firstLineChars="0"/>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根据项目需求编制的方案（</w:t>
            </w:r>
            <w:r>
              <w:rPr>
                <w:rFonts w:hint="eastAsia" w:asciiTheme="minorEastAsia" w:hAnsiTheme="minorEastAsia" w:eastAsiaTheme="minorEastAsia" w:cstheme="minorEastAsia"/>
                <w:kern w:val="0"/>
                <w:sz w:val="24"/>
                <w:szCs w:val="24"/>
                <w:lang w:val="en-US" w:eastAsia="zh-CN" w:bidi="ar"/>
              </w:rPr>
              <w:t>20分</w:t>
            </w:r>
            <w:r>
              <w:rPr>
                <w:rFonts w:hint="eastAsia" w:asciiTheme="minorEastAsia" w:hAnsiTheme="minorEastAsia" w:eastAsiaTheme="minorEastAsia" w:cstheme="minorEastAsia"/>
                <w:kern w:val="0"/>
                <w:sz w:val="24"/>
                <w:szCs w:val="24"/>
                <w:lang w:bidi="ar"/>
              </w:rPr>
              <w:t>）</w:t>
            </w:r>
          </w:p>
        </w:tc>
        <w:tc>
          <w:tcPr>
            <w:tcW w:w="6244"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textAlignment w:val="center"/>
              <w:rPr>
                <w:rFonts w:hint="default" w:asciiTheme="minorEastAsia" w:hAnsiTheme="minorEastAsia" w:eastAsiaTheme="minorEastAsia" w:cstheme="minorEastAsia"/>
                <w:kern w:val="0"/>
                <w:sz w:val="24"/>
                <w:szCs w:val="24"/>
                <w:lang w:val="en-US" w:bidi="ar"/>
              </w:rPr>
            </w:pPr>
            <w:r>
              <w:rPr>
                <w:rFonts w:hint="eastAsia" w:asciiTheme="minorEastAsia" w:hAnsiTheme="minorEastAsia" w:eastAsiaTheme="minorEastAsia" w:cstheme="minorEastAsia"/>
                <w:kern w:val="0"/>
                <w:sz w:val="24"/>
                <w:szCs w:val="24"/>
                <w:lang w:bidi="ar"/>
              </w:rPr>
              <w:t>依据投标人提供的</w:t>
            </w:r>
            <w:r>
              <w:rPr>
                <w:rFonts w:hint="eastAsia" w:ascii="宋体" w:hAnsi="宋体" w:eastAsia="新宋体" w:cs="Times New Roman"/>
                <w:kern w:val="2"/>
                <w:sz w:val="24"/>
                <w:szCs w:val="24"/>
                <w:highlight w:val="none"/>
                <w:lang w:val="en-US" w:eastAsia="zh-CN" w:bidi="ar-SA"/>
              </w:rPr>
              <w:t>对和田市5.3万户农户院内所有房屋进行安全性鉴定，房屋结构安全隐患排查、检测等</w:t>
            </w:r>
            <w:r>
              <w:rPr>
                <w:rFonts w:hint="eastAsia" w:asciiTheme="minorEastAsia" w:hAnsiTheme="minorEastAsia" w:eastAsiaTheme="minorEastAsia" w:cstheme="minorEastAsia"/>
                <w:kern w:val="0"/>
                <w:sz w:val="24"/>
                <w:szCs w:val="24"/>
                <w:lang w:bidi="ar"/>
              </w:rPr>
              <w:t>，</w:t>
            </w:r>
            <w:r>
              <w:rPr>
                <w:rFonts w:hint="eastAsia" w:asciiTheme="minorEastAsia" w:hAnsiTheme="minorEastAsia" w:eastAsiaTheme="minorEastAsia" w:cstheme="minorEastAsia"/>
                <w:kern w:val="0"/>
                <w:sz w:val="24"/>
                <w:szCs w:val="24"/>
                <w:lang w:val="en-US" w:eastAsia="zh-CN" w:bidi="ar"/>
              </w:rPr>
              <w:t>结合各乡镇、片区鉴定户数分布做出切实可行的方案计划。方案祥细周密10～7分；方案一般可行6～4分；方案无实施意义3～0分。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atLeast"/>
          <w:jc w:val="center"/>
        </w:trPr>
        <w:tc>
          <w:tcPr>
            <w:tcW w:w="1079" w:type="dxa"/>
            <w:vMerge w:val="continue"/>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p>
        </w:tc>
        <w:tc>
          <w:tcPr>
            <w:tcW w:w="2120" w:type="dxa"/>
            <w:vMerge w:val="continue"/>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p>
        </w:tc>
        <w:tc>
          <w:tcPr>
            <w:tcW w:w="6244"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依据投标人提供的</w:t>
            </w:r>
            <w:r>
              <w:rPr>
                <w:rFonts w:hint="eastAsia" w:asciiTheme="minorEastAsia" w:hAnsiTheme="minorEastAsia" w:eastAsiaTheme="minorEastAsia" w:cstheme="minorEastAsia"/>
                <w:kern w:val="0"/>
                <w:sz w:val="24"/>
                <w:szCs w:val="24"/>
                <w:lang w:val="en-US" w:eastAsia="zh-CN" w:bidi="ar"/>
              </w:rPr>
              <w:t>房屋鉴定规范、要求对个户监测数据进行认真详细对比给予</w:t>
            </w:r>
            <w:r>
              <w:rPr>
                <w:rFonts w:hint="eastAsia" w:asciiTheme="minorEastAsia" w:hAnsiTheme="minorEastAsia" w:eastAsiaTheme="minorEastAsia" w:cstheme="minorEastAsia"/>
                <w:kern w:val="0"/>
                <w:sz w:val="24"/>
                <w:szCs w:val="24"/>
                <w:lang w:bidi="ar"/>
              </w:rPr>
              <w:t>相关合理化建议</w:t>
            </w:r>
            <w:r>
              <w:rPr>
                <w:rFonts w:hint="eastAsia" w:asciiTheme="minorEastAsia" w:hAnsiTheme="minorEastAsia" w:eastAsiaTheme="minorEastAsia" w:cstheme="minorEastAsia"/>
                <w:kern w:val="0"/>
                <w:sz w:val="24"/>
                <w:szCs w:val="24"/>
                <w:lang w:eastAsia="zh-CN" w:bidi="ar"/>
              </w:rPr>
              <w:t>，</w:t>
            </w:r>
            <w:r>
              <w:rPr>
                <w:rFonts w:hint="eastAsia" w:asciiTheme="minorEastAsia" w:hAnsiTheme="minorEastAsia" w:eastAsiaTheme="minorEastAsia" w:cstheme="minorEastAsia"/>
                <w:kern w:val="0"/>
                <w:sz w:val="24"/>
                <w:szCs w:val="24"/>
                <w:lang w:val="en-US" w:eastAsia="zh-CN" w:bidi="ar"/>
              </w:rPr>
              <w:t>合理10～6分；一般5～1分；未给予任何相关建议不得分</w:t>
            </w:r>
            <w:r>
              <w:rPr>
                <w:rFonts w:hint="eastAsia" w:asciiTheme="minorEastAsia" w:hAnsiTheme="minorEastAsia" w:eastAsiaTheme="minorEastAsia" w:cstheme="minorEastAsia"/>
                <w:kern w:val="0"/>
                <w:sz w:val="24"/>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2" w:hRule="atLeast"/>
          <w:jc w:val="center"/>
        </w:trPr>
        <w:tc>
          <w:tcPr>
            <w:tcW w:w="1079"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2120" w:type="dxa"/>
            <w:vAlign w:val="center"/>
          </w:tcPr>
          <w:p>
            <w:pPr>
              <w:keepNext w:val="0"/>
              <w:keepLines w:val="0"/>
              <w:pageBreakBefore w:val="0"/>
              <w:kinsoku/>
              <w:wordWrap/>
              <w:overflowPunct/>
              <w:topLinePunct w:val="0"/>
              <w:autoSpaceDE/>
              <w:autoSpaceDN/>
              <w:bidi w:val="0"/>
              <w:adjustRightInd w:val="0"/>
              <w:snapToGrid/>
              <w:spacing w:line="340" w:lineRule="exact"/>
              <w:ind w:left="120" w:leftChars="0" w:right="0" w:rightChars="0" w:hanging="120" w:hangingChars="50"/>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sz w:val="24"/>
                <w:szCs w:val="24"/>
                <w:lang w:val="en-US" w:eastAsia="zh-CN"/>
              </w:rPr>
              <w:t>服务期、质量、安全方案（14分）</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20" w:leftChars="0" w:right="0" w:rightChars="0" w:hanging="120" w:hangingChars="50"/>
              <w:jc w:val="left"/>
              <w:textAlignment w:val="center"/>
              <w:rPr>
                <w:rFonts w:hint="default" w:asciiTheme="minorEastAsia" w:hAnsiTheme="minorEastAsia" w:eastAsiaTheme="minorEastAsia" w:cstheme="minorEastAsia"/>
                <w:kern w:val="0"/>
                <w:sz w:val="24"/>
                <w:szCs w:val="24"/>
                <w:lang w:val="en-US" w:bidi="ar"/>
              </w:rPr>
            </w:pPr>
            <w:r>
              <w:rPr>
                <w:rFonts w:hint="eastAsia" w:asciiTheme="minorEastAsia" w:hAnsiTheme="minorEastAsia" w:eastAsiaTheme="minorEastAsia" w:cstheme="minorEastAsia"/>
                <w:sz w:val="24"/>
                <w:szCs w:val="24"/>
                <w:lang w:val="en-US" w:eastAsia="zh-CN"/>
              </w:rPr>
              <w:t>服务期、质量、安全方案全面可行满足招标文件要求且有详细的计划表得</w:t>
            </w:r>
            <w:r>
              <w:rPr>
                <w:rFonts w:hint="eastAsia" w:asciiTheme="minorEastAsia" w:hAnsiTheme="minorEastAsia" w:eastAsiaTheme="minorEastAsia" w:cstheme="minorEastAsia"/>
                <w:kern w:val="0"/>
                <w:sz w:val="24"/>
                <w:szCs w:val="24"/>
                <w:lang w:val="en-US" w:eastAsia="zh-CN" w:bidi="ar"/>
              </w:rPr>
              <w:t>14～10分，全面可行满足招标文件要求没有计划表得9～6分；不全面不可行满足招标文件要求有计划表得5～3分；全面可行未满足招标文件要求有计划表得2～0分；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5" w:hRule="atLeast"/>
          <w:jc w:val="center"/>
        </w:trPr>
        <w:tc>
          <w:tcPr>
            <w:tcW w:w="1079"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p>
        </w:tc>
        <w:tc>
          <w:tcPr>
            <w:tcW w:w="2120"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color w:val="auto"/>
                <w:kern w:val="0"/>
                <w:sz w:val="24"/>
                <w:szCs w:val="24"/>
                <w:lang w:val="en-US" w:eastAsia="zh-CN" w:bidi="ar"/>
              </w:rPr>
              <w:t>业绩</w:t>
            </w:r>
            <w:r>
              <w:rPr>
                <w:rFonts w:hint="eastAsia" w:asciiTheme="minorEastAsia" w:hAnsiTheme="minorEastAsia" w:eastAsia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val="en-US" w:eastAsia="zh-CN" w:bidi="ar"/>
              </w:rPr>
              <w:t>8</w:t>
            </w:r>
            <w:r>
              <w:rPr>
                <w:rFonts w:hint="eastAsia" w:asciiTheme="minorEastAsia" w:hAnsiTheme="minorEastAsia" w:eastAsiaTheme="minorEastAsia" w:cstheme="minorEastAsia"/>
                <w:color w:val="auto"/>
                <w:kern w:val="0"/>
                <w:sz w:val="24"/>
                <w:szCs w:val="24"/>
                <w:lang w:bidi="ar"/>
              </w:rPr>
              <w:t>分</w:t>
            </w:r>
            <w:r>
              <w:rPr>
                <w:rFonts w:hint="eastAsia" w:asciiTheme="minorEastAsia" w:hAnsiTheme="minorEastAsia" w:eastAsiaTheme="minorEastAsia" w:cstheme="minorEastAsia"/>
                <w:color w:val="auto"/>
                <w:kern w:val="0"/>
                <w:sz w:val="24"/>
                <w:szCs w:val="24"/>
                <w:lang w:eastAsia="zh-CN" w:bidi="ar"/>
              </w:rPr>
              <w:t>）</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20" w:leftChars="0" w:right="0" w:rightChars="0" w:hanging="120" w:hangingChars="50"/>
              <w:jc w:val="left"/>
              <w:textAlignment w:val="center"/>
              <w:rPr>
                <w:rFonts w:hint="eastAsia" w:asciiTheme="minorEastAsia" w:hAnsiTheme="minorEastAsia" w:eastAsiaTheme="minorEastAsia" w:cstheme="minorEastAsia"/>
                <w:kern w:val="0"/>
                <w:sz w:val="24"/>
                <w:szCs w:val="24"/>
                <w:lang w:bidi="ar"/>
              </w:rPr>
            </w:pPr>
            <w:r>
              <w:rPr>
                <w:rFonts w:hint="eastAsia" w:ascii="宋体" w:hAnsi="宋体"/>
                <w:sz w:val="24"/>
                <w:szCs w:val="24"/>
              </w:rPr>
              <w:t>近</w:t>
            </w:r>
            <w:r>
              <w:rPr>
                <w:rFonts w:hint="eastAsia" w:ascii="宋体" w:hAnsi="宋体"/>
                <w:sz w:val="24"/>
                <w:szCs w:val="24"/>
                <w:lang w:val="en-US" w:eastAsia="zh-CN"/>
              </w:rPr>
              <w:t>三</w:t>
            </w:r>
            <w:r>
              <w:rPr>
                <w:rFonts w:hint="eastAsia" w:ascii="宋体" w:hAnsi="宋体"/>
                <w:sz w:val="24"/>
                <w:szCs w:val="24"/>
              </w:rPr>
              <w:t>年同类项目业绩（附合同复印件），每项2分，满分</w:t>
            </w:r>
            <w:r>
              <w:rPr>
                <w:rFonts w:hint="eastAsia" w:ascii="宋体" w:hAnsi="宋体"/>
                <w:sz w:val="24"/>
                <w:szCs w:val="24"/>
                <w:lang w:val="en-US" w:eastAsia="zh-CN"/>
              </w:rPr>
              <w:t>8</w:t>
            </w:r>
            <w:r>
              <w:rPr>
                <w:rFonts w:hint="eastAsia" w:ascii="宋体" w:hAnsi="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2" w:hRule="atLeast"/>
          <w:jc w:val="center"/>
        </w:trPr>
        <w:tc>
          <w:tcPr>
            <w:tcW w:w="1079"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p>
        </w:tc>
        <w:tc>
          <w:tcPr>
            <w:tcW w:w="2120" w:type="dxa"/>
            <w:vAlign w:val="center"/>
          </w:tcPr>
          <w:p>
            <w:pPr>
              <w:keepNext w:val="0"/>
              <w:keepLines w:val="0"/>
              <w:pageBreakBefore w:val="0"/>
              <w:kinsoku/>
              <w:wordWrap/>
              <w:overflowPunct/>
              <w:topLinePunct w:val="0"/>
              <w:autoSpaceDE/>
              <w:autoSpaceDN/>
              <w:bidi w:val="0"/>
              <w:adjustRightInd w:val="0"/>
              <w:snapToGrid/>
              <w:spacing w:line="340" w:lineRule="exact"/>
              <w:ind w:left="120" w:leftChars="0" w:right="0" w:rightChars="0" w:hanging="120" w:hangingChars="5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0"/>
                <w:sz w:val="24"/>
                <w:szCs w:val="24"/>
                <w:lang w:bidi="ar"/>
              </w:rPr>
              <w:t>投标文件质量</w:t>
            </w:r>
            <w:r>
              <w:rPr>
                <w:rFonts w:hint="eastAsia" w:asciiTheme="minorEastAsia" w:hAnsiTheme="minorEastAsia" w:eastAsia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val="en-US" w:eastAsia="zh-CN" w:bidi="ar"/>
              </w:rPr>
              <w:t>5</w:t>
            </w:r>
            <w:r>
              <w:rPr>
                <w:rFonts w:hint="eastAsia" w:asciiTheme="minorEastAsia" w:hAnsiTheme="minorEastAsia" w:eastAsiaTheme="minorEastAsia" w:cstheme="minorEastAsia"/>
                <w:color w:val="auto"/>
                <w:kern w:val="0"/>
                <w:sz w:val="24"/>
                <w:szCs w:val="24"/>
                <w:lang w:bidi="ar"/>
              </w:rPr>
              <w:t>分</w:t>
            </w:r>
            <w:r>
              <w:rPr>
                <w:rFonts w:hint="eastAsia" w:asciiTheme="minorEastAsia" w:hAnsiTheme="minorEastAsia" w:eastAsiaTheme="minorEastAsia" w:cstheme="minorEastAsia"/>
                <w:color w:val="auto"/>
                <w:kern w:val="0"/>
                <w:sz w:val="24"/>
                <w:szCs w:val="24"/>
                <w:lang w:eastAsia="zh-CN" w:bidi="ar"/>
              </w:rPr>
              <w:t>）</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rPr>
                <w:rFonts w:hint="default" w:asciiTheme="minorEastAsia" w:hAnsiTheme="minorEastAsia" w:eastAsiaTheme="minorEastAsia" w:cstheme="minorEastAsia"/>
                <w:kern w:val="0"/>
                <w:sz w:val="24"/>
                <w:szCs w:val="24"/>
                <w:lang w:val="en-US" w:bidi="ar"/>
              </w:rPr>
            </w:pPr>
            <w:r>
              <w:rPr>
                <w:rFonts w:hint="eastAsia" w:asciiTheme="minorEastAsia" w:hAnsiTheme="minorEastAsia" w:eastAsiaTheme="minorEastAsia" w:cstheme="minorEastAsia"/>
                <w:kern w:val="0"/>
                <w:sz w:val="24"/>
                <w:szCs w:val="24"/>
                <w:lang w:val="en-US" w:eastAsia="zh-CN" w:bidi="ar"/>
              </w:rPr>
              <w:t>满足招标文件实质性要求，装订采用胶装得5分，活页装订不得分。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2" w:hRule="atLeast"/>
          <w:jc w:val="center"/>
        </w:trPr>
        <w:tc>
          <w:tcPr>
            <w:tcW w:w="1079"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p>
        </w:tc>
        <w:tc>
          <w:tcPr>
            <w:tcW w:w="8364" w:type="dxa"/>
            <w:gridSpan w:val="2"/>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合计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100分</w:t>
            </w:r>
          </w:p>
        </w:tc>
      </w:tr>
    </w:tbl>
    <w:p>
      <w:pPr>
        <w:keepNext w:val="0"/>
        <w:keepLines w:val="0"/>
        <w:pageBreakBefore w:val="0"/>
        <w:widowControl w:val="0"/>
        <w:kinsoku/>
        <w:wordWrap/>
        <w:overflowPunct/>
        <w:topLinePunct w:val="0"/>
        <w:autoSpaceDE/>
        <w:autoSpaceDN/>
        <w:bidi w:val="0"/>
        <w:adjustRightInd/>
        <w:snapToGrid/>
        <w:spacing w:line="500" w:lineRule="exact"/>
        <w:ind w:right="0"/>
        <w:textAlignment w:val="auto"/>
        <w:rPr>
          <w:rFonts w:hint="eastAsia" w:ascii="宋体" w:hAnsi="宋体" w:cs="宋体"/>
          <w:b/>
          <w:color w:val="FF0000"/>
          <w:sz w:val="24"/>
          <w:szCs w:val="24"/>
          <w:lang w:val="en-US" w:eastAsia="zh-CN"/>
        </w:rPr>
      </w:pPr>
      <w:r>
        <w:rPr>
          <w:rFonts w:hint="eastAsia" w:ascii="宋体" w:hAnsi="宋体" w:cs="宋体"/>
          <w:b/>
          <w:color w:val="FF0000"/>
          <w:sz w:val="24"/>
          <w:szCs w:val="24"/>
          <w:lang w:val="en-US" w:eastAsia="zh-CN"/>
        </w:rPr>
        <w:t>特别注意：</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2" w:firstLineChars="200"/>
        <w:textAlignment w:val="auto"/>
        <w:rPr>
          <w:rFonts w:hint="default" w:ascii="宋体" w:hAnsi="宋体" w:eastAsia="宋体" w:cs="宋体"/>
          <w:b/>
          <w:color w:val="FF0000"/>
          <w:sz w:val="24"/>
          <w:szCs w:val="24"/>
          <w:lang w:val="en-US" w:eastAsia="zh-CN"/>
        </w:rPr>
      </w:pPr>
      <w:r>
        <w:rPr>
          <w:rFonts w:hint="eastAsia" w:ascii="宋体" w:hAnsi="宋体" w:cs="宋体"/>
          <w:b/>
          <w:color w:val="FF0000"/>
          <w:sz w:val="24"/>
          <w:szCs w:val="24"/>
        </w:rPr>
        <w:t>1、中标公司按照自治区要求开展</w:t>
      </w:r>
      <w:r>
        <w:rPr>
          <w:rFonts w:hint="eastAsia" w:ascii="宋体" w:hAnsi="宋体" w:cs="宋体"/>
          <w:b/>
          <w:color w:val="FF0000"/>
          <w:sz w:val="24"/>
          <w:szCs w:val="24"/>
          <w:lang w:val="en-US" w:eastAsia="zh-CN"/>
        </w:rPr>
        <w:t>房屋安全性鉴定工作</w:t>
      </w:r>
      <w:r>
        <w:rPr>
          <w:rFonts w:hint="eastAsia" w:ascii="宋体" w:hAnsi="宋体" w:cs="宋体"/>
          <w:b/>
          <w:color w:val="FF0000"/>
          <w:sz w:val="24"/>
          <w:szCs w:val="24"/>
        </w:rPr>
        <w:t>，必须在</w:t>
      </w:r>
      <w:r>
        <w:rPr>
          <w:rFonts w:hint="eastAsia" w:ascii="宋体" w:hAnsi="宋体" w:cs="宋体"/>
          <w:b/>
          <w:color w:val="FF0000"/>
          <w:sz w:val="24"/>
          <w:szCs w:val="24"/>
          <w:lang w:val="en-US" w:eastAsia="zh-CN"/>
        </w:rPr>
        <w:t>2020年6月10日前完成各乡镇房屋安全性鉴定工作</w:t>
      </w:r>
      <w:r>
        <w:rPr>
          <w:rFonts w:hint="eastAsia" w:ascii="宋体" w:hAnsi="宋体" w:cs="宋体"/>
          <w:b/>
          <w:color w:val="FF0000"/>
          <w:sz w:val="24"/>
          <w:szCs w:val="24"/>
        </w:rPr>
        <w:t>，不得出现工作差错。</w:t>
      </w:r>
      <w:r>
        <w:rPr>
          <w:rFonts w:hint="eastAsia" w:ascii="宋体" w:hAnsi="宋体" w:cs="宋体"/>
          <w:b/>
          <w:color w:val="FF0000"/>
          <w:sz w:val="24"/>
          <w:szCs w:val="24"/>
          <w:lang w:val="en-US" w:eastAsia="zh-CN"/>
        </w:rPr>
        <w:t>未按期限履行合同采购人将给予5000元/天（日历天）的罚款。</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2" w:firstLineChars="200"/>
        <w:textAlignment w:val="auto"/>
        <w:rPr>
          <w:rFonts w:hint="eastAsia" w:ascii="宋体" w:hAnsi="宋体" w:cs="宋体"/>
          <w:b/>
          <w:sz w:val="24"/>
          <w:szCs w:val="24"/>
          <w:lang w:val="en-US" w:eastAsia="zh-CN"/>
        </w:rPr>
      </w:pPr>
      <w:r>
        <w:rPr>
          <w:rFonts w:hint="eastAsia" w:ascii="宋体" w:hAnsi="宋体" w:cs="宋体"/>
          <w:b/>
          <w:color w:val="FF0000"/>
          <w:sz w:val="24"/>
          <w:szCs w:val="24"/>
          <w:lang w:val="en-US" w:eastAsia="zh-CN"/>
        </w:rPr>
        <w:t>2、从事过房屋结构检测、结构安全性及抗震性能鉴定的第三方机构。第三方机构（第三方机构是指依法设立并提供服务的法人或其他组织，主要包括建设工程质量检测机构）。</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2" w:firstLineChars="200"/>
        <w:textAlignment w:val="auto"/>
        <w:rPr>
          <w:rFonts w:hint="default" w:ascii="宋体" w:hAnsi="宋体" w:eastAsia="宋体" w:cs="宋体"/>
          <w:b/>
          <w:sz w:val="24"/>
          <w:szCs w:val="24"/>
          <w:lang w:val="en-US" w:eastAsia="zh-CN"/>
        </w:rPr>
      </w:pPr>
      <w:r>
        <w:rPr>
          <w:rFonts w:hint="eastAsia" w:ascii="宋体" w:hAnsi="宋体" w:cs="宋体"/>
          <w:b/>
          <w:sz w:val="24"/>
          <w:szCs w:val="24"/>
          <w:lang w:val="en-US" w:eastAsia="zh-CN"/>
        </w:rPr>
        <w:t>3、</w:t>
      </w:r>
      <w:r>
        <w:rPr>
          <w:rFonts w:hint="eastAsia" w:ascii="宋体" w:hAnsi="宋体" w:cs="宋体"/>
          <w:b/>
          <w:sz w:val="24"/>
          <w:szCs w:val="24"/>
        </w:rPr>
        <w:t>付款方式：</w:t>
      </w:r>
      <w:r>
        <w:rPr>
          <w:rFonts w:hint="eastAsia" w:ascii="宋体" w:hAnsi="宋体" w:cs="宋体"/>
          <w:b/>
          <w:sz w:val="24"/>
          <w:szCs w:val="24"/>
          <w:lang w:val="en-US" w:eastAsia="zh-CN"/>
        </w:rPr>
        <w:t>以合同签订为准。</w:t>
      </w:r>
    </w:p>
    <w:p>
      <w:pPr>
        <w:spacing w:line="500" w:lineRule="exact"/>
        <w:ind w:firstLine="482" w:firstLineChars="200"/>
        <w:rPr>
          <w:rFonts w:ascii="宋体" w:hAnsi="宋体" w:cs="宋体"/>
          <w:b/>
          <w:sz w:val="24"/>
        </w:rPr>
      </w:pPr>
      <w:r>
        <w:rPr>
          <w:rFonts w:hint="eastAsia" w:ascii="宋体" w:hAnsi="宋体" w:cs="宋体"/>
          <w:b/>
          <w:sz w:val="24"/>
        </w:rPr>
        <w:t>23、投标文件的澄清</w:t>
      </w:r>
    </w:p>
    <w:p>
      <w:pPr>
        <w:spacing w:line="500" w:lineRule="exact"/>
        <w:ind w:firstLine="480" w:firstLineChars="200"/>
        <w:rPr>
          <w:rFonts w:ascii="宋体" w:hAnsi="宋体" w:cs="宋体"/>
          <w:sz w:val="24"/>
        </w:rPr>
      </w:pPr>
      <w:r>
        <w:rPr>
          <w:rFonts w:hint="eastAsia" w:ascii="宋体" w:hAnsi="宋体" w:cs="宋体"/>
          <w:sz w:val="24"/>
        </w:rPr>
        <w:t>23.1 评标委员会在评标过程中有权随时请投标人就投标文件中含混之处加以澄清或答疑。</w:t>
      </w:r>
    </w:p>
    <w:p>
      <w:pPr>
        <w:spacing w:line="500" w:lineRule="exact"/>
        <w:ind w:firstLine="480" w:firstLineChars="200"/>
        <w:rPr>
          <w:rFonts w:ascii="宋体" w:hAnsi="宋体" w:cs="宋体"/>
          <w:sz w:val="24"/>
        </w:rPr>
      </w:pPr>
      <w:r>
        <w:rPr>
          <w:rFonts w:hint="eastAsia" w:ascii="宋体" w:hAnsi="宋体" w:cs="宋体"/>
          <w:sz w:val="24"/>
        </w:rPr>
        <w:t>23.2 投标人对要求澄清的问题应以书面形式明确答复，并应有法人授权代表的签署。</w:t>
      </w:r>
    </w:p>
    <w:p>
      <w:pPr>
        <w:spacing w:line="500" w:lineRule="exact"/>
        <w:ind w:firstLine="480" w:firstLineChars="200"/>
        <w:rPr>
          <w:rFonts w:ascii="宋体" w:hAnsi="宋体" w:cs="宋体"/>
          <w:sz w:val="24"/>
        </w:rPr>
      </w:pPr>
      <w:r>
        <w:rPr>
          <w:rFonts w:hint="eastAsia" w:ascii="宋体" w:hAnsi="宋体" w:cs="宋体"/>
          <w:sz w:val="24"/>
        </w:rPr>
        <w:t>23.3 投标人的澄清文件是投标文件的组成部分，并取代投标文件中被澄清的部分。</w:t>
      </w:r>
    </w:p>
    <w:p>
      <w:pPr>
        <w:spacing w:line="500" w:lineRule="exact"/>
        <w:ind w:firstLine="480" w:firstLineChars="200"/>
        <w:rPr>
          <w:rFonts w:ascii="宋体" w:hAnsi="宋体" w:cs="宋体"/>
          <w:sz w:val="24"/>
        </w:rPr>
      </w:pPr>
      <w:r>
        <w:rPr>
          <w:rFonts w:hint="eastAsia" w:ascii="宋体" w:hAnsi="宋体" w:cs="宋体"/>
          <w:sz w:val="24"/>
        </w:rPr>
        <w:t>23.4 投标文件的澄清不得改变投标的实质内容。</w:t>
      </w:r>
    </w:p>
    <w:p>
      <w:pPr>
        <w:spacing w:line="500" w:lineRule="exact"/>
        <w:ind w:firstLine="480" w:firstLineChars="200"/>
        <w:rPr>
          <w:rFonts w:ascii="宋体" w:hAnsi="宋体" w:cs="宋体"/>
          <w:sz w:val="24"/>
        </w:rPr>
      </w:pPr>
      <w:r>
        <w:rPr>
          <w:rFonts w:hint="eastAsia" w:ascii="宋体" w:hAnsi="宋体" w:cs="宋体"/>
          <w:sz w:val="24"/>
        </w:rPr>
        <w:t>23.5如果投标人在投标文件中未对招标文件中的条款或参数要求提出偏离意见或澄清将视同投标人同意招标文件的全部或部分要求。</w:t>
      </w:r>
    </w:p>
    <w:p>
      <w:pPr>
        <w:spacing w:line="500" w:lineRule="exact"/>
        <w:ind w:firstLine="482" w:firstLineChars="200"/>
        <w:rPr>
          <w:rFonts w:ascii="宋体" w:hAnsi="宋体" w:cs="宋体"/>
          <w:b/>
          <w:sz w:val="24"/>
        </w:rPr>
      </w:pPr>
      <w:r>
        <w:rPr>
          <w:rFonts w:hint="eastAsia" w:ascii="宋体" w:hAnsi="宋体" w:cs="宋体"/>
          <w:b/>
          <w:sz w:val="24"/>
        </w:rPr>
        <w:t>24、定标</w:t>
      </w:r>
    </w:p>
    <w:p>
      <w:pPr>
        <w:spacing w:line="500" w:lineRule="exact"/>
        <w:ind w:firstLine="480" w:firstLineChars="200"/>
        <w:rPr>
          <w:rFonts w:hint="eastAsia" w:ascii="宋体" w:hAnsi="宋体" w:cs="宋体"/>
          <w:sz w:val="24"/>
        </w:rPr>
      </w:pPr>
    </w:p>
    <w:p>
      <w:pPr>
        <w:spacing w:line="500" w:lineRule="exact"/>
        <w:ind w:firstLine="480" w:firstLineChars="200"/>
        <w:rPr>
          <w:rFonts w:ascii="宋体" w:hAnsi="宋体" w:cs="宋体"/>
          <w:sz w:val="24"/>
        </w:rPr>
      </w:pPr>
      <w:r>
        <w:rPr>
          <w:rFonts w:hint="eastAsia" w:ascii="宋体" w:hAnsi="宋体" w:cs="宋体"/>
          <w:sz w:val="24"/>
        </w:rPr>
        <w:t>24.1 评标委员会有权选择和拒绝投标人中标，且无需向投标人进行任何有关评标的解释工作。</w:t>
      </w:r>
    </w:p>
    <w:p>
      <w:pPr>
        <w:spacing w:line="500" w:lineRule="exact"/>
        <w:ind w:left="120" w:leftChars="57" w:firstLine="360" w:firstLineChars="150"/>
        <w:rPr>
          <w:rFonts w:ascii="宋体" w:hAnsi="宋体" w:cs="宋体"/>
          <w:b/>
          <w:color w:val="FF0000"/>
          <w:sz w:val="24"/>
        </w:rPr>
      </w:pPr>
      <w:r>
        <w:rPr>
          <w:rFonts w:hint="eastAsia" w:ascii="宋体" w:hAnsi="宋体" w:cs="宋体"/>
          <w:sz w:val="24"/>
        </w:rPr>
        <w:t>24.2 评标委员会通过上述评标方法以最终合计得分【为所有评委评分总和的算术平均值】，并按得分由高到低顺序排列，选择前三名投标人依次推荐为第一名、第二名和第三名中标候选人推荐中标候选人。当评标人得分相等时，以评标价较低者优先。</w:t>
      </w:r>
    </w:p>
    <w:p>
      <w:pPr>
        <w:spacing w:line="500" w:lineRule="exact"/>
        <w:ind w:firstLine="482" w:firstLineChars="200"/>
        <w:rPr>
          <w:rFonts w:ascii="宋体" w:hAnsi="宋体" w:cs="宋体"/>
          <w:b/>
          <w:sz w:val="24"/>
        </w:rPr>
      </w:pPr>
      <w:r>
        <w:rPr>
          <w:rFonts w:hint="eastAsia" w:ascii="宋体" w:hAnsi="宋体" w:cs="宋体"/>
          <w:b/>
          <w:sz w:val="24"/>
        </w:rPr>
        <w:t>25、中标的标准</w:t>
      </w:r>
    </w:p>
    <w:p>
      <w:pPr>
        <w:spacing w:line="500" w:lineRule="exact"/>
        <w:ind w:firstLine="480" w:firstLineChars="200"/>
        <w:rPr>
          <w:rFonts w:ascii="宋体" w:hAnsi="宋体" w:cs="宋体"/>
          <w:sz w:val="24"/>
        </w:rPr>
      </w:pPr>
      <w:r>
        <w:rPr>
          <w:rFonts w:hint="eastAsia" w:ascii="宋体" w:hAnsi="宋体" w:cs="宋体"/>
          <w:sz w:val="24"/>
        </w:rPr>
        <w:t>25.1 资格审查文件完整无缺；</w:t>
      </w:r>
    </w:p>
    <w:p>
      <w:pPr>
        <w:spacing w:line="500" w:lineRule="exact"/>
        <w:ind w:firstLine="480" w:firstLineChars="200"/>
        <w:rPr>
          <w:rFonts w:ascii="宋体" w:hAnsi="宋体" w:cs="宋体"/>
          <w:sz w:val="24"/>
        </w:rPr>
      </w:pPr>
      <w:r>
        <w:rPr>
          <w:rFonts w:hint="eastAsia" w:ascii="宋体" w:hAnsi="宋体" w:cs="宋体"/>
          <w:sz w:val="24"/>
        </w:rPr>
        <w:t>25.2 已交纳投标保证金；</w:t>
      </w:r>
    </w:p>
    <w:p>
      <w:pPr>
        <w:spacing w:line="500" w:lineRule="exact"/>
        <w:ind w:firstLine="480" w:firstLineChars="200"/>
        <w:rPr>
          <w:rFonts w:ascii="宋体" w:hAnsi="宋体" w:cs="宋体"/>
          <w:sz w:val="24"/>
        </w:rPr>
      </w:pPr>
      <w:r>
        <w:rPr>
          <w:rFonts w:hint="eastAsia" w:ascii="宋体" w:hAnsi="宋体" w:cs="宋体"/>
          <w:sz w:val="24"/>
        </w:rPr>
        <w:t>25.3 报价合理，承诺条件优惠；</w:t>
      </w:r>
    </w:p>
    <w:p>
      <w:pPr>
        <w:spacing w:line="500" w:lineRule="exact"/>
        <w:ind w:firstLine="480" w:firstLineChars="200"/>
        <w:rPr>
          <w:rFonts w:ascii="宋体" w:hAnsi="宋体" w:cs="宋体"/>
          <w:sz w:val="24"/>
        </w:rPr>
      </w:pPr>
      <w:r>
        <w:rPr>
          <w:rFonts w:hint="eastAsia" w:ascii="宋体" w:hAnsi="宋体" w:cs="宋体"/>
          <w:sz w:val="24"/>
        </w:rPr>
        <w:t>25.4 投标文件与招标文件无重大偏离；</w:t>
      </w:r>
    </w:p>
    <w:p>
      <w:pPr>
        <w:spacing w:line="500" w:lineRule="exact"/>
        <w:ind w:firstLine="480" w:firstLineChars="200"/>
        <w:rPr>
          <w:rFonts w:ascii="宋体" w:hAnsi="宋体" w:cs="宋体"/>
          <w:sz w:val="24"/>
        </w:rPr>
      </w:pPr>
      <w:r>
        <w:rPr>
          <w:rFonts w:hint="eastAsia" w:ascii="宋体" w:hAnsi="宋体" w:cs="宋体"/>
          <w:sz w:val="24"/>
        </w:rPr>
        <w:t>25.5 有较强的技术力量，能提供完善的技术服务，有较好的行业业绩；</w:t>
      </w:r>
    </w:p>
    <w:p>
      <w:pPr>
        <w:spacing w:line="500" w:lineRule="exact"/>
        <w:ind w:firstLine="480" w:firstLineChars="200"/>
        <w:rPr>
          <w:rFonts w:ascii="宋体" w:hAnsi="宋体" w:cs="宋体"/>
          <w:sz w:val="24"/>
        </w:rPr>
      </w:pPr>
      <w:r>
        <w:rPr>
          <w:rFonts w:hint="eastAsia" w:ascii="宋体" w:hAnsi="宋体" w:cs="宋体"/>
          <w:sz w:val="24"/>
        </w:rPr>
        <w:t>25.6 其他；</w:t>
      </w:r>
    </w:p>
    <w:p>
      <w:pPr>
        <w:spacing w:line="500" w:lineRule="exact"/>
        <w:ind w:firstLine="480" w:firstLineChars="200"/>
        <w:rPr>
          <w:rFonts w:ascii="宋体" w:hAnsi="宋体" w:cs="宋体"/>
          <w:sz w:val="24"/>
        </w:rPr>
      </w:pPr>
      <w:r>
        <w:rPr>
          <w:rFonts w:hint="eastAsia" w:ascii="宋体" w:hAnsi="宋体" w:cs="宋体"/>
          <w:sz w:val="24"/>
        </w:rPr>
        <w:t>25.7 在合同签订之前，招标人和招标代理人有权对中标单位的履约能力进行最后审查，审查方式包括询问、调查和实地考察，如发现中标单位提供的投标文件中有虚假或对招标书所要求说明的情况故意隐瞒或虚报，则有权取消其中标资格，其投标保证金不予退回，并在有效期内另行评定中标者。</w:t>
      </w:r>
    </w:p>
    <w:p>
      <w:pPr>
        <w:spacing w:line="500" w:lineRule="exact"/>
        <w:ind w:firstLine="482" w:firstLineChars="200"/>
        <w:rPr>
          <w:rFonts w:ascii="宋体" w:hAnsi="宋体" w:cs="宋体"/>
          <w:b/>
          <w:sz w:val="24"/>
        </w:rPr>
      </w:pPr>
      <w:r>
        <w:rPr>
          <w:rFonts w:hint="eastAsia" w:ascii="宋体" w:hAnsi="宋体" w:cs="宋体"/>
          <w:b/>
          <w:sz w:val="24"/>
        </w:rPr>
        <w:t>26、中标通知</w:t>
      </w:r>
    </w:p>
    <w:p>
      <w:pPr>
        <w:spacing w:line="500" w:lineRule="exact"/>
        <w:ind w:firstLine="480" w:firstLineChars="200"/>
        <w:rPr>
          <w:rFonts w:ascii="宋体" w:hAnsi="宋体" w:cs="宋体"/>
          <w:sz w:val="24"/>
        </w:rPr>
      </w:pPr>
      <w:r>
        <w:rPr>
          <w:rFonts w:hint="eastAsia" w:ascii="宋体" w:hAnsi="宋体" w:cs="宋体"/>
          <w:sz w:val="24"/>
        </w:rPr>
        <w:t>26.1中标公示期：</w:t>
      </w:r>
      <w:r>
        <w:rPr>
          <w:rFonts w:hint="eastAsia" w:ascii="宋体" w:hAnsi="宋体" w:cs="宋体"/>
          <w:sz w:val="24"/>
          <w:u w:val="single"/>
        </w:rPr>
        <w:t>中标结果公示一个工作日。</w:t>
      </w:r>
    </w:p>
    <w:p>
      <w:pPr>
        <w:spacing w:line="500" w:lineRule="exact"/>
        <w:ind w:firstLine="480" w:firstLineChars="200"/>
        <w:rPr>
          <w:rFonts w:ascii="宋体" w:hAnsi="宋体" w:cs="宋体"/>
          <w:sz w:val="24"/>
        </w:rPr>
      </w:pPr>
      <w:r>
        <w:rPr>
          <w:rFonts w:hint="eastAsia" w:ascii="宋体" w:hAnsi="宋体" w:cs="宋体"/>
          <w:sz w:val="24"/>
        </w:rPr>
        <w:t>26.2招标代理机构根据定标结果，在投标有效期届满前，以书面形式向中标单位发出中标通知书。</w:t>
      </w:r>
    </w:p>
    <w:p>
      <w:pPr>
        <w:spacing w:line="500" w:lineRule="exact"/>
        <w:ind w:firstLine="480" w:firstLineChars="200"/>
        <w:rPr>
          <w:rFonts w:ascii="宋体" w:hAnsi="宋体" w:cs="宋体"/>
          <w:sz w:val="24"/>
        </w:rPr>
      </w:pPr>
      <w:r>
        <w:rPr>
          <w:rFonts w:hint="eastAsia" w:ascii="宋体" w:hAnsi="宋体" w:cs="宋体"/>
          <w:sz w:val="24"/>
        </w:rPr>
        <w:t>26.3招标代理机构将定标结果及时通知未中标单位并退还投标保证金。无需解释落标原因。</w:t>
      </w:r>
    </w:p>
    <w:p>
      <w:pPr>
        <w:spacing w:line="500" w:lineRule="exact"/>
        <w:ind w:firstLine="482" w:firstLineChars="200"/>
        <w:rPr>
          <w:rFonts w:ascii="宋体" w:hAnsi="宋体" w:cs="宋体"/>
          <w:b/>
          <w:sz w:val="24"/>
        </w:rPr>
      </w:pPr>
      <w:r>
        <w:rPr>
          <w:rFonts w:hint="eastAsia" w:ascii="宋体" w:hAnsi="宋体" w:cs="宋体"/>
          <w:b/>
          <w:sz w:val="24"/>
        </w:rPr>
        <w:t>27、拒绝某些或所有投标的权力</w:t>
      </w:r>
    </w:p>
    <w:p>
      <w:pPr>
        <w:spacing w:line="500" w:lineRule="exact"/>
        <w:ind w:firstLine="480" w:firstLineChars="200"/>
        <w:rPr>
          <w:rFonts w:ascii="宋体" w:hAnsi="宋体" w:cs="宋体"/>
          <w:sz w:val="24"/>
        </w:rPr>
      </w:pPr>
      <w:r>
        <w:rPr>
          <w:rFonts w:hint="eastAsia" w:ascii="宋体" w:hAnsi="宋体" w:cs="宋体"/>
          <w:sz w:val="24"/>
        </w:rPr>
        <w:t>27.1招标人有权在定标之前拒绝任何有不正当行为或扰乱正常招标工作的投标人，由此对投标人造成的损失不负任何责任，同时对此无需做任何解释。</w:t>
      </w:r>
    </w:p>
    <w:p>
      <w:pPr>
        <w:widowControl/>
        <w:spacing w:line="500" w:lineRule="exact"/>
        <w:ind w:firstLine="236" w:firstLineChars="98"/>
        <w:rPr>
          <w:rFonts w:ascii="宋体" w:hAnsi="宋体" w:cs="宋体"/>
          <w:b/>
          <w:color w:val="FF0000"/>
          <w:kern w:val="0"/>
          <w:sz w:val="24"/>
        </w:rPr>
      </w:pPr>
      <w:r>
        <w:rPr>
          <w:rFonts w:hint="eastAsia" w:ascii="宋体" w:hAnsi="宋体" w:cs="宋体"/>
          <w:b/>
          <w:kern w:val="0"/>
          <w:sz w:val="24"/>
        </w:rPr>
        <w:t xml:space="preserve">  28、</w:t>
      </w:r>
      <w:r>
        <w:rPr>
          <w:rFonts w:hint="eastAsia" w:ascii="宋体" w:hAnsi="宋体" w:cs="宋体"/>
          <w:b/>
          <w:color w:val="000000"/>
          <w:sz w:val="24"/>
        </w:rPr>
        <w:t>付款方式</w:t>
      </w:r>
      <w:r>
        <w:rPr>
          <w:rFonts w:hint="eastAsia" w:ascii="宋体" w:hAnsi="宋体" w:cs="宋体"/>
          <w:b/>
          <w:color w:val="000000"/>
          <w:kern w:val="0"/>
          <w:sz w:val="24"/>
        </w:rPr>
        <w:t>：</w:t>
      </w:r>
      <w:r>
        <w:rPr>
          <w:rFonts w:hint="eastAsia" w:ascii="宋体" w:hAnsi="宋体" w:cs="宋体"/>
          <w:b/>
          <w:color w:val="000000"/>
          <w:sz w:val="24"/>
        </w:rPr>
        <w:t>详见投标须知前附表及招标书特别提示。</w:t>
      </w:r>
    </w:p>
    <w:p>
      <w:pPr>
        <w:spacing w:line="500" w:lineRule="exact"/>
        <w:ind w:left="120" w:hanging="120"/>
        <w:jc w:val="center"/>
        <w:rPr>
          <w:rFonts w:hint="eastAsia" w:ascii="宋体" w:hAnsi="宋体" w:cs="宋体"/>
          <w:b/>
          <w:sz w:val="24"/>
        </w:rPr>
      </w:pPr>
    </w:p>
    <w:p>
      <w:pPr>
        <w:spacing w:line="500" w:lineRule="exact"/>
        <w:ind w:left="120" w:hanging="120"/>
        <w:jc w:val="center"/>
        <w:rPr>
          <w:rFonts w:hint="eastAsia" w:ascii="宋体" w:hAnsi="宋体" w:cs="宋体"/>
          <w:b/>
          <w:sz w:val="24"/>
        </w:rPr>
      </w:pPr>
    </w:p>
    <w:p>
      <w:pPr>
        <w:spacing w:line="500" w:lineRule="exact"/>
        <w:ind w:left="0" w:leftChars="0" w:firstLine="3855" w:firstLineChars="1600"/>
        <w:jc w:val="both"/>
        <w:rPr>
          <w:rFonts w:ascii="宋体" w:hAnsi="宋体" w:cs="宋体"/>
          <w:b/>
          <w:sz w:val="24"/>
        </w:rPr>
      </w:pPr>
      <w:r>
        <w:rPr>
          <w:rFonts w:hint="eastAsia" w:ascii="宋体" w:hAnsi="宋体" w:cs="宋体"/>
          <w:b/>
          <w:sz w:val="24"/>
        </w:rPr>
        <w:t>七、签定合同</w:t>
      </w:r>
    </w:p>
    <w:p>
      <w:pPr>
        <w:spacing w:line="500" w:lineRule="exact"/>
        <w:ind w:firstLine="482" w:firstLineChars="200"/>
        <w:rPr>
          <w:rFonts w:ascii="宋体" w:hAnsi="宋体" w:cs="宋体"/>
          <w:b/>
          <w:sz w:val="24"/>
        </w:rPr>
      </w:pPr>
      <w:r>
        <w:rPr>
          <w:rFonts w:hint="eastAsia" w:ascii="宋体" w:hAnsi="宋体" w:cs="宋体"/>
          <w:b/>
          <w:sz w:val="24"/>
        </w:rPr>
        <w:t>29、签定合同</w:t>
      </w:r>
    </w:p>
    <w:p>
      <w:pPr>
        <w:spacing w:line="500" w:lineRule="exact"/>
        <w:ind w:firstLine="480" w:firstLineChars="200"/>
        <w:rPr>
          <w:rFonts w:ascii="宋体" w:hAnsi="宋体" w:cs="宋体"/>
          <w:sz w:val="24"/>
        </w:rPr>
      </w:pPr>
      <w:r>
        <w:rPr>
          <w:rFonts w:hint="eastAsia" w:ascii="宋体" w:hAnsi="宋体" w:cs="宋体"/>
          <w:sz w:val="24"/>
        </w:rPr>
        <w:t>29.1 招标人和中标人在自中标通知书发出之日起30日内，依据《中华人民共和国经济合同法》和有关法规及招、投标文件签定合同。</w:t>
      </w:r>
    </w:p>
    <w:p>
      <w:pPr>
        <w:spacing w:line="500" w:lineRule="exact"/>
        <w:ind w:firstLine="480" w:firstLineChars="200"/>
        <w:rPr>
          <w:rFonts w:ascii="宋体" w:hAnsi="宋体" w:cs="宋体"/>
          <w:sz w:val="24"/>
        </w:rPr>
      </w:pPr>
      <w:r>
        <w:rPr>
          <w:rFonts w:hint="eastAsia" w:ascii="宋体" w:hAnsi="宋体" w:cs="宋体"/>
          <w:sz w:val="24"/>
        </w:rPr>
        <w:t>29.2 中标合同不得转让。合同分包需在投标文件中予以说明，并需经招标人同意。否则，招标人有权取消中标人的中标资格。</w:t>
      </w:r>
    </w:p>
    <w:p>
      <w:pPr>
        <w:spacing w:line="500" w:lineRule="exact"/>
        <w:ind w:firstLine="480" w:firstLineChars="200"/>
        <w:rPr>
          <w:rFonts w:ascii="宋体" w:hAnsi="宋体" w:cs="宋体"/>
          <w:sz w:val="24"/>
        </w:rPr>
      </w:pPr>
      <w:r>
        <w:rPr>
          <w:rFonts w:hint="eastAsia" w:ascii="宋体" w:hAnsi="宋体" w:cs="宋体"/>
          <w:sz w:val="24"/>
        </w:rPr>
        <w:t>29.3 招标人如遇中标人违约，可从侯选中标人中重新选定中标人，并签定经济合同。</w:t>
      </w:r>
    </w:p>
    <w:p>
      <w:pPr>
        <w:spacing w:line="500" w:lineRule="exact"/>
        <w:ind w:firstLine="480" w:firstLineChars="200"/>
        <w:rPr>
          <w:rFonts w:ascii="宋体" w:hAnsi="宋体" w:cs="宋体"/>
          <w:sz w:val="24"/>
        </w:rPr>
      </w:pPr>
      <w:r>
        <w:rPr>
          <w:rFonts w:hint="eastAsia" w:ascii="宋体" w:hAnsi="宋体" w:cs="宋体"/>
          <w:sz w:val="24"/>
        </w:rPr>
        <w:t>29.4 合同的制订由招标人、中标人、招标代理机构三方参加，为确保合同双方的利益均等，由招标代理机构在合同制订过程中进行协调。</w:t>
      </w:r>
    </w:p>
    <w:p>
      <w:pPr>
        <w:spacing w:line="500" w:lineRule="exact"/>
        <w:ind w:firstLine="482" w:firstLineChars="200"/>
        <w:rPr>
          <w:rFonts w:ascii="宋体" w:hAnsi="宋体" w:cs="宋体"/>
          <w:b/>
          <w:sz w:val="24"/>
        </w:rPr>
      </w:pPr>
      <w:r>
        <w:rPr>
          <w:rFonts w:hint="eastAsia" w:ascii="宋体" w:hAnsi="宋体" w:cs="宋体"/>
          <w:b/>
          <w:sz w:val="24"/>
        </w:rPr>
        <w:t>29.5 合同一式三份，需经招标人、中标人双方签字盖章后即生效。招标人、中标人亦可自愿申请公证。</w:t>
      </w:r>
    </w:p>
    <w:p>
      <w:pPr>
        <w:spacing w:line="500" w:lineRule="exact"/>
        <w:ind w:firstLine="482" w:firstLineChars="200"/>
        <w:rPr>
          <w:rFonts w:ascii="宋体" w:hAnsi="宋体" w:cs="宋体"/>
          <w:b/>
          <w:sz w:val="24"/>
        </w:rPr>
      </w:pPr>
      <w:r>
        <w:rPr>
          <w:rFonts w:hint="eastAsia" w:ascii="宋体" w:hAnsi="宋体" w:cs="宋体"/>
          <w:b/>
          <w:sz w:val="24"/>
        </w:rPr>
        <w:t>30、合同的组成</w:t>
      </w:r>
    </w:p>
    <w:p>
      <w:pPr>
        <w:spacing w:line="500" w:lineRule="exact"/>
        <w:ind w:firstLine="480" w:firstLineChars="200"/>
        <w:rPr>
          <w:rFonts w:ascii="宋体" w:hAnsi="宋体" w:cs="宋体"/>
          <w:sz w:val="24"/>
        </w:rPr>
      </w:pPr>
      <w:r>
        <w:rPr>
          <w:rFonts w:hint="eastAsia" w:ascii="宋体" w:hAnsi="宋体" w:cs="宋体"/>
          <w:sz w:val="24"/>
        </w:rPr>
        <w:t>30.1 下列文件均为合同不可分割部分：</w:t>
      </w:r>
    </w:p>
    <w:p>
      <w:pPr>
        <w:spacing w:line="500" w:lineRule="exact"/>
        <w:ind w:firstLine="480" w:firstLineChars="200"/>
        <w:rPr>
          <w:rFonts w:ascii="宋体" w:hAnsi="宋体" w:cs="宋体"/>
          <w:sz w:val="24"/>
        </w:rPr>
      </w:pPr>
      <w:r>
        <w:rPr>
          <w:rFonts w:hint="eastAsia" w:ascii="宋体" w:hAnsi="宋体" w:cs="宋体"/>
          <w:sz w:val="24"/>
        </w:rPr>
        <w:t>30.1.1 专用合同；</w:t>
      </w:r>
    </w:p>
    <w:p>
      <w:pPr>
        <w:spacing w:line="500" w:lineRule="exact"/>
        <w:ind w:firstLine="480" w:firstLineChars="200"/>
        <w:rPr>
          <w:rFonts w:ascii="宋体" w:hAnsi="宋体" w:cs="宋体"/>
          <w:sz w:val="24"/>
        </w:rPr>
      </w:pPr>
      <w:r>
        <w:rPr>
          <w:rFonts w:hint="eastAsia" w:ascii="宋体" w:hAnsi="宋体" w:cs="宋体"/>
          <w:sz w:val="24"/>
        </w:rPr>
        <w:t>30.1.2 合同条款；</w:t>
      </w:r>
    </w:p>
    <w:p>
      <w:pPr>
        <w:spacing w:line="500" w:lineRule="exact"/>
        <w:ind w:firstLine="480" w:firstLineChars="200"/>
        <w:rPr>
          <w:rFonts w:ascii="宋体" w:hAnsi="宋体" w:cs="宋体"/>
          <w:sz w:val="24"/>
        </w:rPr>
      </w:pPr>
      <w:r>
        <w:rPr>
          <w:rFonts w:hint="eastAsia" w:ascii="宋体" w:hAnsi="宋体" w:cs="宋体"/>
          <w:sz w:val="24"/>
        </w:rPr>
        <w:t>30.1.3 中标通知书；</w:t>
      </w:r>
    </w:p>
    <w:p>
      <w:pPr>
        <w:spacing w:line="500" w:lineRule="exact"/>
        <w:ind w:firstLine="480" w:firstLineChars="200"/>
        <w:rPr>
          <w:rFonts w:ascii="宋体" w:hAnsi="宋体" w:cs="宋体"/>
          <w:sz w:val="24"/>
        </w:rPr>
      </w:pPr>
      <w:r>
        <w:rPr>
          <w:rFonts w:hint="eastAsia" w:ascii="宋体" w:hAnsi="宋体" w:cs="宋体"/>
          <w:sz w:val="24"/>
        </w:rPr>
        <w:t>30.1.4 乙方中标的投标文件；</w:t>
      </w:r>
    </w:p>
    <w:p>
      <w:pPr>
        <w:spacing w:line="500" w:lineRule="exact"/>
        <w:ind w:firstLine="480" w:firstLineChars="200"/>
        <w:rPr>
          <w:rFonts w:ascii="宋体" w:hAnsi="宋体" w:cs="宋体"/>
          <w:sz w:val="24"/>
        </w:rPr>
      </w:pPr>
      <w:r>
        <w:rPr>
          <w:rFonts w:hint="eastAsia" w:ascii="宋体" w:hAnsi="宋体" w:cs="宋体"/>
          <w:sz w:val="24"/>
        </w:rPr>
        <w:t>30.1.5 招标文件；</w:t>
      </w:r>
    </w:p>
    <w:p>
      <w:pPr>
        <w:spacing w:line="500" w:lineRule="exact"/>
        <w:ind w:firstLine="480" w:firstLineChars="200"/>
        <w:rPr>
          <w:rFonts w:hint="eastAsia" w:ascii="宋体" w:hAnsi="宋体" w:cs="宋体"/>
          <w:sz w:val="24"/>
        </w:rPr>
      </w:pPr>
      <w:r>
        <w:rPr>
          <w:rFonts w:hint="eastAsia" w:ascii="宋体" w:hAnsi="宋体" w:cs="宋体"/>
          <w:sz w:val="24"/>
        </w:rPr>
        <w:t>30.1.6 评标答疑记录。</w:t>
      </w:r>
    </w:p>
    <w:p>
      <w:pPr>
        <w:spacing w:line="500" w:lineRule="exact"/>
        <w:ind w:firstLine="482" w:firstLineChars="200"/>
        <w:rPr>
          <w:rFonts w:hint="eastAsia" w:ascii="宋体" w:hAnsi="宋体" w:cs="宋体"/>
          <w:b/>
          <w:bCs/>
          <w:sz w:val="24"/>
        </w:rPr>
      </w:pPr>
      <w:r>
        <w:rPr>
          <w:rFonts w:hint="eastAsia" w:ascii="宋体" w:hAnsi="宋体" w:cs="宋体"/>
          <w:b/>
          <w:bCs/>
          <w:sz w:val="24"/>
        </w:rPr>
        <w:t>31、履约保证金</w:t>
      </w:r>
    </w:p>
    <w:p>
      <w:pPr>
        <w:spacing w:line="500" w:lineRule="exact"/>
        <w:ind w:firstLine="480" w:firstLineChars="200"/>
        <w:rPr>
          <w:rFonts w:hint="eastAsia" w:ascii="宋体" w:hAnsi="宋体" w:cs="宋体"/>
          <w:sz w:val="24"/>
          <w:lang w:val="en-US" w:eastAsia="zh-CN"/>
        </w:rPr>
      </w:pPr>
      <w:r>
        <w:rPr>
          <w:rFonts w:hint="eastAsia" w:ascii="宋体" w:hAnsi="宋体" w:cs="宋体"/>
          <w:sz w:val="24"/>
        </w:rPr>
        <w:t xml:space="preserve">31.1 </w:t>
      </w:r>
      <w:r>
        <w:rPr>
          <w:rFonts w:hint="eastAsia" w:ascii="宋体" w:hAnsi="宋体" w:cs="宋体"/>
          <w:sz w:val="24"/>
          <w:lang w:val="en-US" w:eastAsia="zh-CN"/>
        </w:rPr>
        <w:t>中标人在收到中标通知书后，应按照合同条款的规定，向招标方提交履约保证金，如中标人未按招标文件规定的工期供货、安装和调试完毕，则扣除履约保证金。</w:t>
      </w:r>
    </w:p>
    <w:p>
      <w:pPr>
        <w:spacing w:line="500" w:lineRule="exact"/>
        <w:ind w:firstLine="480" w:firstLineChars="200"/>
      </w:pPr>
      <w:r>
        <w:rPr>
          <w:rFonts w:hint="eastAsia" w:ascii="宋体" w:hAnsi="宋体" w:cs="宋体"/>
          <w:sz w:val="24"/>
        </w:rPr>
        <w:t xml:space="preserve">31.2 </w:t>
      </w:r>
      <w:r>
        <w:rPr>
          <w:rFonts w:hint="eastAsia" w:ascii="宋体" w:hAnsi="宋体" w:cs="宋体"/>
          <w:sz w:val="24"/>
          <w:lang w:val="en-US" w:eastAsia="zh-CN"/>
        </w:rPr>
        <w:t>履约保证金原则上不超过采购合同总金额的10%，履约完毕后，提供供货合同、验收单、收据、开户行资料等证明材料后七个工作日无息退还。</w:t>
      </w:r>
    </w:p>
    <w:p>
      <w:pPr>
        <w:numPr>
          <w:ilvl w:val="0"/>
          <w:numId w:val="8"/>
        </w:numPr>
        <w:spacing w:after="156" w:line="500" w:lineRule="exact"/>
        <w:ind w:left="120" w:hanging="120"/>
        <w:jc w:val="center"/>
        <w:rPr>
          <w:rFonts w:ascii="宋体" w:hAnsi="宋体" w:cs="宋体"/>
          <w:b/>
          <w:sz w:val="24"/>
        </w:rPr>
      </w:pPr>
      <w:r>
        <w:rPr>
          <w:rFonts w:hint="eastAsia" w:ascii="宋体" w:hAnsi="宋体" w:cs="宋体"/>
          <w:b/>
          <w:sz w:val="24"/>
        </w:rPr>
        <w:t>特别提示</w:t>
      </w:r>
    </w:p>
    <w:p>
      <w:pPr>
        <w:spacing w:line="500" w:lineRule="exact"/>
        <w:ind w:firstLine="480" w:firstLineChars="200"/>
        <w:rPr>
          <w:rFonts w:ascii="宋体" w:hAnsi="宋体" w:cs="宋体"/>
          <w:sz w:val="24"/>
        </w:rPr>
      </w:pPr>
      <w:r>
        <w:rPr>
          <w:rFonts w:hint="eastAsia" w:ascii="宋体" w:hAnsi="宋体" w:cs="宋体"/>
          <w:sz w:val="24"/>
        </w:rPr>
        <w:t>31、投标人应认真研读招标文件，充分考虑招标文件中的技术要求和合同条款后编制投标文件。</w:t>
      </w:r>
    </w:p>
    <w:p>
      <w:pPr>
        <w:spacing w:line="500" w:lineRule="exact"/>
        <w:ind w:firstLine="480" w:firstLineChars="200"/>
        <w:rPr>
          <w:rFonts w:ascii="宋体" w:hAnsi="宋体" w:cs="宋体"/>
          <w:b/>
          <w:sz w:val="24"/>
        </w:rPr>
      </w:pPr>
      <w:r>
        <w:rPr>
          <w:rFonts w:hint="eastAsia" w:ascii="宋体" w:hAnsi="宋体" w:cs="宋体"/>
          <w:sz w:val="24"/>
        </w:rPr>
        <w:t>32、如招标文件中未提供的各类表格样式，投标人可另行设计表格样式，但力求内容完整，表达清晰、准确。</w:t>
      </w:r>
    </w:p>
    <w:p>
      <w:pPr>
        <w:spacing w:before="156" w:after="156" w:line="500" w:lineRule="exact"/>
        <w:ind w:left="120" w:hanging="120"/>
        <w:jc w:val="center"/>
        <w:rPr>
          <w:rFonts w:ascii="宋体" w:hAnsi="宋体" w:cs="宋体"/>
          <w:b/>
          <w:sz w:val="24"/>
        </w:rPr>
      </w:pPr>
      <w:r>
        <w:rPr>
          <w:rFonts w:hint="eastAsia" w:ascii="宋体" w:hAnsi="宋体" w:cs="宋体"/>
          <w:b/>
          <w:sz w:val="24"/>
        </w:rPr>
        <w:t>九、其他事项</w:t>
      </w:r>
    </w:p>
    <w:p>
      <w:pPr>
        <w:spacing w:line="500" w:lineRule="exact"/>
        <w:ind w:firstLine="482" w:firstLineChars="200"/>
        <w:rPr>
          <w:rFonts w:ascii="宋体" w:hAnsi="宋体" w:cs="宋体"/>
          <w:b/>
          <w:sz w:val="24"/>
        </w:rPr>
      </w:pPr>
      <w:r>
        <w:rPr>
          <w:rFonts w:hint="eastAsia" w:ascii="宋体" w:hAnsi="宋体" w:cs="宋体"/>
          <w:b/>
          <w:sz w:val="24"/>
        </w:rPr>
        <w:t>34、中标服务费</w:t>
      </w:r>
    </w:p>
    <w:p>
      <w:pPr>
        <w:spacing w:line="500" w:lineRule="exact"/>
        <w:ind w:firstLine="480" w:firstLineChars="200"/>
        <w:rPr>
          <w:rFonts w:hint="eastAsia" w:ascii="宋体" w:hAnsi="宋体" w:cs="宋体"/>
          <w:sz w:val="24"/>
          <w:lang w:val="en-US" w:eastAsia="zh-CN"/>
        </w:rPr>
      </w:pPr>
      <w:r>
        <w:rPr>
          <w:rFonts w:hint="eastAsia" w:ascii="宋体" w:hAnsi="宋体" w:cs="宋体"/>
          <w:sz w:val="24"/>
        </w:rPr>
        <w:t>34.1</w:t>
      </w:r>
      <w:r>
        <w:rPr>
          <w:rFonts w:hint="eastAsia" w:ascii="宋体" w:hAnsi="宋体" w:cs="宋体"/>
          <w:sz w:val="24"/>
          <w:lang w:val="en-US" w:eastAsia="zh-CN"/>
        </w:rPr>
        <w:t>招标人</w:t>
      </w:r>
      <w:r>
        <w:rPr>
          <w:rFonts w:hint="eastAsia" w:ascii="宋体" w:hAnsi="宋体" w:cs="宋体"/>
          <w:sz w:val="24"/>
        </w:rPr>
        <w:t>必须在招标工作结束后向</w:t>
      </w:r>
      <w:r>
        <w:rPr>
          <w:rFonts w:hint="eastAsia" w:ascii="宋体" w:hAnsi="宋体" w:cs="宋体"/>
          <w:sz w:val="24"/>
          <w:lang w:val="en-US" w:eastAsia="zh-CN"/>
        </w:rPr>
        <w:t>新疆天麒工程项目管理咨询有限责任公司</w:t>
      </w:r>
    </w:p>
    <w:p>
      <w:pPr>
        <w:spacing w:line="500" w:lineRule="exact"/>
        <w:rPr>
          <w:rFonts w:ascii="宋体" w:hAnsi="宋体" w:cs="宋体"/>
          <w:sz w:val="24"/>
          <w:u w:val="single"/>
        </w:rPr>
      </w:pPr>
      <w:r>
        <w:rPr>
          <w:rFonts w:hint="eastAsia" w:ascii="宋体" w:hAnsi="宋体" w:cs="宋体"/>
          <w:sz w:val="24"/>
        </w:rPr>
        <w:t>一次付清中标服务费。</w:t>
      </w:r>
    </w:p>
    <w:p>
      <w:pPr>
        <w:spacing w:line="500" w:lineRule="exact"/>
        <w:ind w:firstLine="480" w:firstLineChars="200"/>
        <w:rPr>
          <w:rFonts w:ascii="宋体" w:hAnsi="宋体" w:cs="宋体"/>
          <w:sz w:val="24"/>
        </w:rPr>
      </w:pPr>
      <w:r>
        <w:rPr>
          <w:rFonts w:hint="eastAsia" w:ascii="宋体" w:hAnsi="宋体" w:cs="宋体"/>
          <w:sz w:val="24"/>
        </w:rPr>
        <w:t>34.2 代理报酬为人民币：本项目招标代理费由</w:t>
      </w:r>
      <w:r>
        <w:rPr>
          <w:rFonts w:hint="eastAsia" w:ascii="宋体" w:hAnsi="宋体" w:cs="宋体"/>
          <w:sz w:val="24"/>
          <w:lang w:val="en-US" w:eastAsia="zh-CN"/>
        </w:rPr>
        <w:t>成交中标单位</w:t>
      </w:r>
      <w:r>
        <w:rPr>
          <w:rFonts w:hint="eastAsia" w:ascii="宋体" w:hAnsi="宋体" w:cs="宋体"/>
          <w:sz w:val="24"/>
        </w:rPr>
        <w:t>支付，</w:t>
      </w:r>
      <w:r>
        <w:rPr>
          <w:rFonts w:hint="eastAsia" w:ascii="宋体" w:hAnsi="宋体" w:cs="宋体"/>
          <w:sz w:val="24"/>
          <w:lang w:val="en-US" w:eastAsia="zh-CN"/>
        </w:rPr>
        <w:t>采用定额差率累计法，</w:t>
      </w:r>
      <w:r>
        <w:rPr>
          <w:rFonts w:hint="eastAsia" w:ascii="宋体" w:hAnsi="宋体" w:cs="宋体"/>
          <w:sz w:val="24"/>
        </w:rPr>
        <w:t>具体收费标准</w:t>
      </w:r>
      <w:r>
        <w:rPr>
          <w:rFonts w:hint="eastAsia" w:ascii="宋体" w:hAnsi="宋体" w:cs="宋体"/>
          <w:sz w:val="24"/>
          <w:lang w:val="en-US" w:eastAsia="zh-CN"/>
        </w:rPr>
        <w:t>如下:100万以下，中标价的1.5%；100万到500万，中标价的1.1%；500万到1000万，中标价的0.8%；1000万到5000万，中标价的0.5%；5000万到10000万，中标价的0.25%</w:t>
      </w:r>
      <w:r>
        <w:rPr>
          <w:rFonts w:hint="eastAsia" w:ascii="宋体" w:hAnsi="宋体" w:cs="宋体"/>
          <w:sz w:val="24"/>
          <w:lang w:eastAsia="zh-CN"/>
        </w:rPr>
        <w:t>。</w:t>
      </w:r>
    </w:p>
    <w:p>
      <w:pPr>
        <w:spacing w:line="500" w:lineRule="exact"/>
        <w:ind w:firstLine="480" w:firstLineChars="200"/>
        <w:rPr>
          <w:rFonts w:ascii="宋体" w:hAnsi="宋体" w:cs="宋体"/>
          <w:b/>
          <w:sz w:val="24"/>
        </w:rPr>
      </w:pPr>
      <w:r>
        <w:rPr>
          <w:rFonts w:hint="eastAsia" w:ascii="宋体" w:hAnsi="宋体" w:cs="宋体"/>
          <w:sz w:val="24"/>
        </w:rPr>
        <w:t>35、本招标文件是根据《中华人民共和国招标投标法》规定编制的，解释权属</w:t>
      </w:r>
      <w:r>
        <w:rPr>
          <w:rFonts w:hint="eastAsia" w:ascii="宋体" w:hAnsi="宋体" w:cs="宋体"/>
          <w:sz w:val="24"/>
          <w:lang w:val="en-US" w:eastAsia="zh-CN"/>
        </w:rPr>
        <w:t>新疆天麒工程项目管理咨询有限责任公司</w:t>
      </w:r>
      <w:r>
        <w:rPr>
          <w:rFonts w:hint="eastAsia" w:ascii="宋体" w:hAnsi="宋体" w:cs="宋体"/>
          <w:sz w:val="24"/>
        </w:rPr>
        <w:t>。</w:t>
      </w:r>
    </w:p>
    <w:p>
      <w:pPr>
        <w:spacing w:line="500" w:lineRule="exact"/>
        <w:ind w:left="120" w:hanging="120"/>
        <w:rPr>
          <w:rFonts w:ascii="宋体" w:hAnsi="宋体" w:cs="宋体"/>
          <w:b/>
          <w:sz w:val="24"/>
        </w:rPr>
      </w:pPr>
    </w:p>
    <w:p>
      <w:pPr>
        <w:pStyle w:val="5"/>
        <w:outlineLvl w:val="9"/>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pStyle w:val="2"/>
        <w:rPr>
          <w:rFonts w:hint="eastAsia" w:ascii="宋体" w:hAnsi="宋体" w:cs="宋体"/>
          <w:b/>
          <w:sz w:val="24"/>
        </w:rPr>
      </w:pPr>
    </w:p>
    <w:p>
      <w:pPr>
        <w:pStyle w:val="2"/>
        <w:rPr>
          <w:rFonts w:hint="eastAsia" w:ascii="宋体" w:hAnsi="宋体" w:cs="宋体"/>
          <w:b/>
          <w:sz w:val="24"/>
        </w:rPr>
      </w:pPr>
    </w:p>
    <w:p>
      <w:pPr>
        <w:pStyle w:val="2"/>
        <w:rPr>
          <w:rFonts w:hint="eastAsia" w:ascii="宋体" w:hAnsi="宋体" w:cs="宋体"/>
          <w:b/>
          <w:sz w:val="24"/>
        </w:rPr>
      </w:pPr>
    </w:p>
    <w:p>
      <w:pPr>
        <w:pStyle w:val="2"/>
        <w:rPr>
          <w:rFonts w:hint="eastAsia" w:ascii="宋体" w:hAnsi="宋体" w:cs="宋体"/>
          <w:b/>
          <w:sz w:val="24"/>
        </w:rPr>
      </w:pPr>
    </w:p>
    <w:p>
      <w:pPr>
        <w:pStyle w:val="2"/>
        <w:rPr>
          <w:rFonts w:hint="eastAsia" w:ascii="宋体" w:hAnsi="宋体" w:cs="宋体"/>
          <w:b/>
          <w:sz w:val="24"/>
        </w:rPr>
      </w:pPr>
    </w:p>
    <w:p>
      <w:pPr>
        <w:pStyle w:val="2"/>
        <w:rPr>
          <w:rFonts w:hint="eastAsia" w:ascii="宋体" w:hAnsi="宋体" w:cs="宋体"/>
          <w:b/>
          <w:sz w:val="24"/>
        </w:rPr>
      </w:pPr>
    </w:p>
    <w:p>
      <w:pPr>
        <w:pStyle w:val="2"/>
        <w:rPr>
          <w:rFonts w:hint="eastAsia" w:ascii="宋体" w:hAnsi="宋体" w:cs="宋体"/>
          <w:b/>
          <w:sz w:val="24"/>
        </w:rPr>
      </w:pPr>
    </w:p>
    <w:p>
      <w:pPr>
        <w:numPr>
          <w:ilvl w:val="0"/>
          <w:numId w:val="9"/>
        </w:numPr>
        <w:spacing w:line="500" w:lineRule="exact"/>
        <w:ind w:right="62" w:rightChars="0" w:firstLine="3373" w:firstLineChars="1400"/>
        <w:jc w:val="both"/>
        <w:outlineLvl w:val="0"/>
        <w:rPr>
          <w:rFonts w:hint="eastAsia" w:ascii="宋体" w:hAnsi="宋体" w:cs="宋体"/>
          <w:b/>
          <w:sz w:val="24"/>
        </w:rPr>
      </w:pPr>
      <w:r>
        <w:rPr>
          <w:rFonts w:hint="eastAsia" w:ascii="宋体" w:hAnsi="宋体" w:cs="宋体"/>
          <w:b/>
          <w:sz w:val="24"/>
        </w:rPr>
        <w:t xml:space="preserve">  </w:t>
      </w:r>
      <w:bookmarkStart w:id="13" w:name="_Toc6378"/>
      <w:r>
        <w:rPr>
          <w:rFonts w:hint="eastAsia" w:ascii="宋体" w:hAnsi="宋体" w:cs="宋体"/>
          <w:b/>
          <w:sz w:val="24"/>
        </w:rPr>
        <w:t>技术要求</w:t>
      </w:r>
      <w:bookmarkEnd w:id="13"/>
    </w:p>
    <w:p>
      <w:pPr>
        <w:pStyle w:val="158"/>
        <w:keepNext w:val="0"/>
        <w:keepLines w:val="0"/>
        <w:pageBreakBefore w:val="0"/>
        <w:numPr>
          <w:ilvl w:val="0"/>
          <w:numId w:val="0"/>
        </w:numPr>
        <w:kinsoku/>
        <w:wordWrap/>
        <w:overflowPunct/>
        <w:topLinePunct w:val="0"/>
        <w:bidi w:val="0"/>
        <w:snapToGrid/>
        <w:spacing w:line="450" w:lineRule="exact"/>
        <w:jc w:val="center"/>
        <w:textAlignment w:val="auto"/>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 </w:t>
      </w:r>
      <w:bookmarkStart w:id="14" w:name="_Toc23174"/>
      <w:r>
        <w:rPr>
          <w:rFonts w:hint="eastAsia" w:ascii="宋体" w:hAnsi="宋体" w:eastAsia="宋体" w:cs="宋体"/>
          <w:color w:val="auto"/>
          <w:kern w:val="2"/>
          <w:sz w:val="24"/>
          <w:szCs w:val="24"/>
          <w:lang w:val="en-US" w:eastAsia="zh-CN" w:bidi="ar-SA"/>
        </w:rPr>
        <w:t>技术参数</w:t>
      </w:r>
      <w:bookmarkEnd w:id="14"/>
    </w:p>
    <w:tbl>
      <w:tblPr>
        <w:tblStyle w:val="71"/>
        <w:tblW w:w="9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950"/>
        <w:gridCol w:w="1290"/>
        <w:gridCol w:w="1275"/>
        <w:gridCol w:w="2040"/>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773"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项目名称</w:t>
            </w: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项目地点</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数量（户）</w:t>
            </w:r>
          </w:p>
        </w:tc>
        <w:tc>
          <w:tcPr>
            <w:tcW w:w="1275"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合计（户）</w:t>
            </w:r>
          </w:p>
        </w:tc>
        <w:tc>
          <w:tcPr>
            <w:tcW w:w="204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简要规格描述</w:t>
            </w:r>
          </w:p>
        </w:tc>
        <w:tc>
          <w:tcPr>
            <w:tcW w:w="1455"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restart"/>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和田市农村房屋安全性鉴定工作采购项目（</w:t>
            </w:r>
            <w:r>
              <w:rPr>
                <w:rFonts w:hint="eastAsia" w:ascii="宋体" w:hAnsi="宋体" w:cs="宋体"/>
                <w:color w:val="auto"/>
                <w:kern w:val="2"/>
                <w:sz w:val="24"/>
                <w:szCs w:val="24"/>
                <w:lang w:val="en-US" w:eastAsia="zh-CN" w:bidi="ar-SA"/>
              </w:rPr>
              <w:t>包二</w:t>
            </w:r>
            <w:r>
              <w:rPr>
                <w:rFonts w:hint="eastAsia" w:ascii="宋体" w:hAnsi="宋体" w:eastAsia="宋体" w:cs="宋体"/>
                <w:color w:val="auto"/>
                <w:kern w:val="2"/>
                <w:sz w:val="24"/>
                <w:szCs w:val="24"/>
                <w:lang w:val="en-US" w:eastAsia="zh-CN" w:bidi="ar-SA"/>
              </w:rPr>
              <w:t>）</w:t>
            </w: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古江巴格乡</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6560</w:t>
            </w:r>
          </w:p>
        </w:tc>
        <w:tc>
          <w:tcPr>
            <w:tcW w:w="1275" w:type="dxa"/>
            <w:vMerge w:val="restart"/>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26640</w:t>
            </w:r>
          </w:p>
        </w:tc>
        <w:tc>
          <w:tcPr>
            <w:tcW w:w="2040" w:type="dxa"/>
            <w:vMerge w:val="restart"/>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房屋结构检测、结构安全性及抗震性能鉴定</w:t>
            </w:r>
          </w:p>
        </w:tc>
        <w:tc>
          <w:tcPr>
            <w:tcW w:w="1455" w:type="dxa"/>
            <w:vMerge w:val="restart"/>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left="239" w:leftChars="114" w:firstLine="120" w:firstLineChars="50"/>
              <w:jc w:val="both"/>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房屋安全性鉴定均按户计算，每户计划鉴定费用为100元。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10" w:firstLineChars="100"/>
              <w:jc w:val="center"/>
              <w:textAlignment w:val="auto"/>
            </w:pP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拉斯奎镇</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6898</w:t>
            </w:r>
          </w:p>
        </w:tc>
        <w:tc>
          <w:tcPr>
            <w:tcW w:w="127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204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45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肖尔巴格乡</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7651</w:t>
            </w:r>
          </w:p>
        </w:tc>
        <w:tc>
          <w:tcPr>
            <w:tcW w:w="127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204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45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玉龙喀什镇</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5242</w:t>
            </w:r>
          </w:p>
        </w:tc>
        <w:tc>
          <w:tcPr>
            <w:tcW w:w="127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204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45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古江巴格街道</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151</w:t>
            </w:r>
          </w:p>
        </w:tc>
        <w:tc>
          <w:tcPr>
            <w:tcW w:w="127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204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45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古勒巴格街道</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79</w:t>
            </w:r>
          </w:p>
        </w:tc>
        <w:tc>
          <w:tcPr>
            <w:tcW w:w="127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204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45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default"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纳尔巴格街道</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59</w:t>
            </w:r>
          </w:p>
        </w:tc>
        <w:tc>
          <w:tcPr>
            <w:tcW w:w="127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204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45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9783" w:type="dxa"/>
            <w:gridSpan w:val="6"/>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服务要求：提供一式三份鉴定、认定报告（电子版、纸质版），本包按乡、</w:t>
            </w:r>
            <w:r>
              <w:rPr>
                <w:rFonts w:hint="eastAsia" w:ascii="宋体" w:hAnsi="宋体" w:cs="宋体"/>
                <w:color w:val="auto"/>
                <w:kern w:val="2"/>
                <w:sz w:val="24"/>
                <w:szCs w:val="24"/>
                <w:lang w:val="en-US" w:eastAsia="zh-CN" w:bidi="ar-SA"/>
              </w:rPr>
              <w:t>镇</w:t>
            </w:r>
            <w:r>
              <w:rPr>
                <w:rFonts w:hint="eastAsia" w:ascii="宋体" w:hAnsi="宋体" w:eastAsia="宋体" w:cs="宋体"/>
                <w:color w:val="auto"/>
                <w:kern w:val="2"/>
                <w:sz w:val="24"/>
                <w:szCs w:val="24"/>
                <w:lang w:val="en-US" w:eastAsia="zh-CN" w:bidi="ar-SA"/>
              </w:rPr>
              <w:t>分类的明细台帐电子版、纸质版各一份、每个包提供签字盖章的空白认定表、鉴定报告各50份，制作明白卡或对明白卡盖章及因工作需要的有关房屋认定、鉴定的其他服务。</w:t>
            </w:r>
          </w:p>
        </w:tc>
      </w:tr>
    </w:tbl>
    <w:p>
      <w:pPr>
        <w:spacing w:line="500" w:lineRule="exact"/>
        <w:ind w:left="0" w:leftChars="0" w:firstLine="0" w:firstLineChars="0"/>
        <w:jc w:val="both"/>
        <w:rPr>
          <w:rFonts w:ascii="宋体" w:hAnsi="宋体" w:cs="宋体"/>
          <w:b/>
          <w:sz w:val="24"/>
        </w:rPr>
      </w:pPr>
    </w:p>
    <w:p>
      <w:pPr>
        <w:pStyle w:val="157"/>
        <w:numPr>
          <w:ilvl w:val="0"/>
          <w:numId w:val="10"/>
        </w:numPr>
        <w:ind w:firstLine="480"/>
        <w:jc w:val="both"/>
        <w:rPr>
          <w:rFonts w:hint="default" w:ascii="宋体" w:hAnsi="宋体" w:eastAsia="新宋体" w:cs="Times New Roman"/>
          <w:kern w:val="2"/>
          <w:sz w:val="24"/>
          <w:szCs w:val="24"/>
          <w:highlight w:val="none"/>
          <w:lang w:val="en-US" w:eastAsia="zh-CN" w:bidi="ar-SA"/>
        </w:rPr>
      </w:pPr>
      <w:r>
        <w:rPr>
          <w:rFonts w:hint="eastAsia" w:ascii="宋体" w:hAnsi="宋体" w:cs="宋体"/>
          <w:sz w:val="24"/>
        </w:rPr>
        <w:t>项目</w:t>
      </w:r>
      <w:r>
        <w:rPr>
          <w:rFonts w:hint="eastAsia" w:ascii="宋体" w:hAnsi="宋体" w:cs="宋体"/>
          <w:sz w:val="24"/>
          <w:lang w:val="en-US" w:eastAsia="zh-CN"/>
        </w:rPr>
        <w:t>概况</w:t>
      </w:r>
      <w:r>
        <w:rPr>
          <w:rFonts w:hint="eastAsia" w:ascii="宋体" w:hAnsi="宋体" w:cs="宋体"/>
          <w:sz w:val="24"/>
          <w:highlight w:val="none"/>
        </w:rPr>
        <w:t>：</w:t>
      </w:r>
      <w:r>
        <w:rPr>
          <w:rFonts w:hint="eastAsia" w:ascii="宋体" w:hAnsi="宋体" w:eastAsia="新宋体" w:cs="Times New Roman"/>
          <w:kern w:val="2"/>
          <w:sz w:val="24"/>
          <w:szCs w:val="24"/>
          <w:highlight w:val="none"/>
          <w:lang w:val="en-US" w:eastAsia="zh-CN" w:bidi="ar-SA"/>
        </w:rPr>
        <w:t>对和田市5.3万户农户院内所有房屋进行安全性鉴定，房屋结构安全隐患排查、检测等，主要对房屋结构安全状况进行鉴别、评定，为房屋安全鉴定和管理提供技术支撑。为采购人提供科学、可靠、有效的检测数据和检测报告。每户计划鉴定费用为100元。</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eastAsia="宋体" w:cs="宋体"/>
          <w:sz w:val="24"/>
          <w:highlight w:val="none"/>
          <w:lang w:eastAsia="zh-CN"/>
        </w:rPr>
      </w:pPr>
      <w:r>
        <w:rPr>
          <w:rFonts w:hint="eastAsia" w:ascii="宋体" w:hAnsi="宋体" w:cs="宋体"/>
          <w:sz w:val="24"/>
          <w:highlight w:val="none"/>
        </w:rPr>
        <w:t>2、</w:t>
      </w:r>
      <w:r>
        <w:rPr>
          <w:rFonts w:hint="eastAsia" w:ascii="宋体" w:hAnsi="宋体" w:eastAsia="新宋体" w:cs="Times New Roman"/>
          <w:kern w:val="2"/>
          <w:sz w:val="24"/>
          <w:szCs w:val="24"/>
          <w:highlight w:val="none"/>
          <w:lang w:val="en-US" w:eastAsia="zh-CN" w:bidi="ar-SA"/>
        </w:rPr>
        <w:t>从事过房屋结构检测、结构安全性及抗震性能鉴定的第三方机构。第三方机构（第三方机构是指依法设立并提供服务的法人或其他组织，主要包括建设工程质量检测机构）。</w:t>
      </w:r>
    </w:p>
    <w:p>
      <w:pPr>
        <w:widowControl/>
        <w:spacing w:line="440" w:lineRule="exact"/>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实施方案（包含具体内容详见投标文件格式）。</w:t>
      </w:r>
    </w:p>
    <w:p>
      <w:pPr>
        <w:widowControl/>
        <w:spacing w:line="440" w:lineRule="exact"/>
        <w:ind w:firstLine="480" w:firstLineChars="200"/>
        <w:jc w:val="left"/>
        <w:rPr>
          <w:rFonts w:ascii="宋体" w:hAnsi="宋体" w:cs="宋体"/>
          <w:sz w:val="24"/>
        </w:rPr>
      </w:pPr>
      <w:r>
        <w:rPr>
          <w:rFonts w:hint="eastAsia" w:ascii="宋体" w:hAnsi="宋体" w:cs="宋体"/>
          <w:sz w:val="24"/>
          <w:lang w:val="en-US" w:eastAsia="zh-CN"/>
        </w:rPr>
        <w:t>4、</w:t>
      </w:r>
      <w:r>
        <w:rPr>
          <w:rFonts w:hint="eastAsia" w:ascii="宋体" w:hAnsi="宋体" w:cs="宋体"/>
          <w:sz w:val="24"/>
        </w:rPr>
        <w:t>中标人在执行本协议期限内，必须按投标时所报的人员进行现场办公，业务人员</w:t>
      </w:r>
      <w:r>
        <w:rPr>
          <w:rFonts w:hint="eastAsia" w:ascii="宋体" w:hAnsi="宋体" w:cs="宋体"/>
          <w:sz w:val="24"/>
          <w:lang w:val="en-US" w:eastAsia="zh-CN"/>
        </w:rPr>
        <w:t>工作</w:t>
      </w:r>
      <w:r>
        <w:rPr>
          <w:rFonts w:hint="eastAsia" w:ascii="宋体" w:hAnsi="宋体" w:cs="宋体"/>
          <w:sz w:val="24"/>
        </w:rPr>
        <w:t>期间要按甲方要求提供业务服务等相关工作；如有特殊情况需要更换业务人员（业务人员需具备相应的</w:t>
      </w:r>
      <w:r>
        <w:rPr>
          <w:rFonts w:hint="eastAsia" w:ascii="宋体" w:hAnsi="宋体" w:cs="宋体"/>
          <w:sz w:val="24"/>
          <w:lang w:val="en-US" w:eastAsia="zh-CN"/>
        </w:rPr>
        <w:t>工作经验</w:t>
      </w:r>
      <w:r>
        <w:rPr>
          <w:rFonts w:hint="eastAsia" w:ascii="宋体" w:hAnsi="宋体" w:cs="宋体"/>
          <w:sz w:val="24"/>
        </w:rPr>
        <w:t>），必须经</w:t>
      </w:r>
      <w:r>
        <w:rPr>
          <w:rFonts w:hint="eastAsia" w:ascii="宋体" w:hAnsi="宋体" w:cs="宋体"/>
          <w:sz w:val="24"/>
          <w:lang w:val="en-US" w:eastAsia="zh-CN"/>
        </w:rPr>
        <w:t>采购单位</w:t>
      </w:r>
      <w:r>
        <w:rPr>
          <w:rFonts w:hint="eastAsia" w:ascii="宋体" w:hAnsi="宋体" w:cs="宋体"/>
          <w:sz w:val="24"/>
        </w:rPr>
        <w:t>及监管部门同意后方可更换。</w:t>
      </w:r>
    </w:p>
    <w:p>
      <w:pPr>
        <w:spacing w:line="500" w:lineRule="exact"/>
        <w:ind w:firstLine="480" w:firstLineChars="200"/>
        <w:jc w:val="left"/>
        <w:rPr>
          <w:rFonts w:ascii="宋体" w:hAnsi="宋体" w:cs="宋体"/>
          <w:sz w:val="24"/>
        </w:rPr>
        <w:sectPr>
          <w:footerReference r:id="rId14" w:type="default"/>
          <w:footnotePr>
            <w:numFmt w:val="decimalHalfWidth"/>
          </w:footnotePr>
          <w:endnotePr>
            <w:numFmt w:val="chineseCounting"/>
          </w:endnotePr>
          <w:pgSz w:w="11906" w:h="16838"/>
          <w:pgMar w:top="1134" w:right="1304" w:bottom="1134" w:left="1304" w:header="737" w:footer="850" w:gutter="0"/>
          <w:pgNumType w:fmt="decimal" w:start="1"/>
          <w:cols w:space="720" w:num="1"/>
          <w:docGrid w:type="lines" w:linePitch="320" w:charSpace="0"/>
        </w:sectPr>
      </w:pPr>
      <w:r>
        <w:rPr>
          <w:rFonts w:hint="eastAsia" w:ascii="宋体" w:hAnsi="宋体" w:cs="宋体"/>
          <w:sz w:val="24"/>
          <w:lang w:val="en-US" w:eastAsia="zh-CN"/>
        </w:rPr>
        <w:t>5</w:t>
      </w:r>
      <w:r>
        <w:rPr>
          <w:rFonts w:hint="eastAsia" w:ascii="宋体" w:hAnsi="宋体" w:cs="宋体"/>
          <w:sz w:val="24"/>
        </w:rPr>
        <w:t>、若投标人中标后，必须服从</w:t>
      </w:r>
      <w:r>
        <w:rPr>
          <w:rFonts w:hint="eastAsia" w:ascii="宋体" w:hAnsi="宋体" w:cs="宋体"/>
          <w:sz w:val="24"/>
          <w:lang w:val="en-US" w:eastAsia="zh-CN"/>
        </w:rPr>
        <w:t>采购单位的</w:t>
      </w:r>
      <w:r>
        <w:rPr>
          <w:rFonts w:hint="eastAsia" w:ascii="宋体" w:hAnsi="宋体" w:cs="宋体"/>
          <w:sz w:val="24"/>
        </w:rPr>
        <w:t>管理并及时汇报相关工作。</w:t>
      </w:r>
    </w:p>
    <w:p>
      <w:pPr>
        <w:numPr>
          <w:ilvl w:val="0"/>
          <w:numId w:val="0"/>
        </w:numPr>
        <w:spacing w:line="460" w:lineRule="exact"/>
        <w:ind w:leftChars="-50" w:right="62" w:rightChars="0" w:firstLine="4096" w:firstLineChars="1700"/>
        <w:jc w:val="both"/>
        <w:outlineLvl w:val="0"/>
        <w:rPr>
          <w:rFonts w:hint="eastAsia" w:asciiTheme="minorEastAsia" w:hAnsiTheme="minorEastAsia" w:eastAsiaTheme="minorEastAsia" w:cstheme="minorEastAsia"/>
          <w:b/>
          <w:color w:val="000000" w:themeColor="text1"/>
          <w:szCs w:val="32"/>
          <w:highlight w:val="none"/>
          <w14:textFill>
            <w14:solidFill>
              <w14:schemeClr w14:val="tx1"/>
            </w14:solidFill>
          </w14:textFill>
        </w:rPr>
      </w:pPr>
      <w:r>
        <w:rPr>
          <w:rFonts w:hint="eastAsia" w:ascii="宋体" w:hAnsi="宋体" w:cs="宋体"/>
          <w:b/>
          <w:sz w:val="24"/>
          <w:lang w:val="en-US" w:eastAsia="zh-CN"/>
        </w:rPr>
        <w:t>第四章</w:t>
      </w:r>
      <w:r>
        <w:rPr>
          <w:rFonts w:hint="eastAsia" w:ascii="宋体" w:hAnsi="宋体" w:cs="宋体"/>
          <w:b/>
          <w:sz w:val="24"/>
        </w:rPr>
        <w:t xml:space="preserve">  </w:t>
      </w:r>
      <w:bookmarkStart w:id="15" w:name="_Toc15464"/>
      <w:r>
        <w:rPr>
          <w:rFonts w:hint="eastAsia" w:ascii="宋体" w:hAnsi="宋体" w:cs="宋体"/>
          <w:b/>
          <w:sz w:val="24"/>
        </w:rPr>
        <w:t>合同</w:t>
      </w:r>
      <w:bookmarkEnd w:id="15"/>
    </w:p>
    <w:p>
      <w:pPr>
        <w:numPr>
          <w:ilvl w:val="0"/>
          <w:numId w:val="0"/>
        </w:numPr>
        <w:spacing w:line="460" w:lineRule="exact"/>
        <w:ind w:leftChars="-50" w:right="62" w:rightChars="0" w:firstLine="2891" w:firstLineChars="900"/>
        <w:jc w:val="both"/>
        <w:outlineLvl w:val="0"/>
        <w:rPr>
          <w:rFonts w:hint="eastAsia" w:asciiTheme="minorEastAsia" w:hAnsiTheme="minorEastAsia" w:eastAsiaTheme="minorEastAsia" w:cstheme="minorEastAsia"/>
          <w:b/>
          <w:color w:val="000000" w:themeColor="text1"/>
          <w:szCs w:val="32"/>
          <w:highlight w:val="none"/>
          <w14:textFill>
            <w14:solidFill>
              <w14:schemeClr w14:val="tx1"/>
            </w14:solidFill>
          </w14:textFill>
        </w:rPr>
      </w:pPr>
      <w:bookmarkStart w:id="16" w:name="_Toc6612"/>
      <w:r>
        <w:rPr>
          <w:rFonts w:hint="eastAsia" w:asciiTheme="minorEastAsia" w:hAnsiTheme="minorEastAsia" w:eastAsiaTheme="minorEastAsia" w:cstheme="minorEastAsia"/>
          <w:b/>
          <w:color w:val="000000" w:themeColor="text1"/>
          <w:kern w:val="2"/>
          <w:sz w:val="32"/>
          <w:szCs w:val="32"/>
          <w:highlight w:val="none"/>
          <w14:textFill>
            <w14:solidFill>
              <w14:schemeClr w14:val="tx1"/>
            </w14:solidFill>
          </w14:textFill>
        </w:rPr>
        <w:t>质量检测合同条款及格式</w:t>
      </w:r>
      <w:bookmarkEnd w:id="16"/>
    </w:p>
    <w:p>
      <w:pPr>
        <w:spacing w:line="360" w:lineRule="auto"/>
        <w:rPr>
          <w:rFonts w:hint="eastAsia" w:asciiTheme="minorEastAsia" w:hAnsiTheme="minorEastAsia" w:eastAsiaTheme="minorEastAsia" w:cstheme="minorEastAsia"/>
          <w:color w:val="000000" w:themeColor="text1"/>
          <w:kern w:val="0"/>
          <w:sz w:val="32"/>
          <w:szCs w:val="32"/>
          <w:highlight w:val="none"/>
          <w:lang w:val="en-US" w:eastAsia="zh-CN" w:bidi="ar-SA"/>
          <w14:textFill>
            <w14:solidFill>
              <w14:schemeClr w14:val="tx1"/>
            </w14:solidFill>
          </w14:textFill>
        </w:rPr>
      </w:pPr>
    </w:p>
    <w:p>
      <w:pPr>
        <w:adjustRightInd w:val="0"/>
        <w:snapToGrid w:val="0"/>
        <w:spacing w:line="360" w:lineRule="auto"/>
        <w:jc w:val="center"/>
        <w:outlineLvl w:val="0"/>
        <w:rPr>
          <w:rFonts w:hint="eastAsia" w:asciiTheme="minorEastAsia" w:hAnsiTheme="minorEastAsia" w:eastAsiaTheme="minorEastAsia" w:cstheme="minorEastAsia"/>
          <w:color w:val="000000" w:themeColor="text1"/>
          <w:sz w:val="52"/>
          <w:highlight w:val="none"/>
          <w14:textFill>
            <w14:solidFill>
              <w14:schemeClr w14:val="tx1"/>
            </w14:solidFill>
          </w14:textFill>
        </w:rPr>
      </w:pPr>
      <w:bookmarkStart w:id="17" w:name="_Toc21189"/>
      <w:r>
        <w:rPr>
          <w:rFonts w:hint="eastAsia" w:asciiTheme="minorEastAsia" w:hAnsiTheme="minorEastAsia" w:eastAsiaTheme="minorEastAsia" w:cstheme="minorEastAsia"/>
          <w:color w:val="000000" w:themeColor="text1"/>
          <w:sz w:val="52"/>
          <w:highlight w:val="none"/>
          <w14:textFill>
            <w14:solidFill>
              <w14:schemeClr w14:val="tx1"/>
            </w14:solidFill>
          </w14:textFill>
        </w:rPr>
        <w:t>质 量 检 测</w:t>
      </w:r>
      <w:bookmarkEnd w:id="17"/>
    </w:p>
    <w:p>
      <w:pPr>
        <w:adjustRightInd w:val="0"/>
        <w:snapToGrid w:val="0"/>
        <w:spacing w:line="360" w:lineRule="auto"/>
        <w:jc w:val="center"/>
        <w:outlineLvl w:val="0"/>
        <w:rPr>
          <w:rFonts w:hint="eastAsia" w:asciiTheme="minorEastAsia" w:hAnsiTheme="minorEastAsia" w:eastAsiaTheme="minorEastAsia" w:cstheme="minorEastAsia"/>
          <w:color w:val="000000" w:themeColor="text1"/>
          <w:sz w:val="52"/>
          <w:highlight w:val="none"/>
          <w14:textFill>
            <w14:solidFill>
              <w14:schemeClr w14:val="tx1"/>
            </w14:solidFill>
          </w14:textFill>
        </w:rPr>
      </w:pPr>
      <w:bookmarkStart w:id="18" w:name="_Toc25862"/>
      <w:r>
        <w:rPr>
          <w:rFonts w:hint="eastAsia" w:asciiTheme="minorEastAsia" w:hAnsiTheme="minorEastAsia" w:eastAsiaTheme="minorEastAsia" w:cstheme="minorEastAsia"/>
          <w:color w:val="000000" w:themeColor="text1"/>
          <w:sz w:val="52"/>
          <w:highlight w:val="none"/>
          <w14:textFill>
            <w14:solidFill>
              <w14:schemeClr w14:val="tx1"/>
            </w14:solidFill>
          </w14:textFill>
        </w:rPr>
        <w:t>合 同 书</w:t>
      </w:r>
      <w:bookmarkEnd w:id="18"/>
    </w:p>
    <w:p>
      <w:pPr>
        <w:spacing w:line="360" w:lineRule="auto"/>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spacing w:line="360" w:lineRule="auto"/>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spacing w:line="360" w:lineRule="auto"/>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spacing w:line="360" w:lineRule="auto"/>
        <w:jc w:val="left"/>
        <w:outlineLvl w:val="0"/>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bookmarkStart w:id="19" w:name="_Toc9465"/>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项目名称：</w:t>
      </w:r>
      <w:bookmarkEnd w:id="19"/>
      <w:r>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w:t>
      </w: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spacing w:line="360" w:lineRule="auto"/>
        <w:jc w:val="left"/>
        <w:outlineLvl w:val="0"/>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bookmarkStart w:id="20" w:name="_Toc14122"/>
      <w:r>
        <w:rPr>
          <w:rFonts w:hint="eastAsia" w:asciiTheme="minorEastAsia" w:hAnsiTheme="minorEastAsia" w:eastAsiaTheme="minorEastAsia" w:cstheme="minorEastAsia"/>
          <w:b/>
          <w:color w:val="000000" w:themeColor="text1"/>
          <w:sz w:val="28"/>
          <w:szCs w:val="28"/>
          <w:highlight w:val="none"/>
          <w:lang w:val="en-US" w:eastAsia="zh-CN"/>
          <w14:textFill>
            <w14:solidFill>
              <w14:schemeClr w14:val="tx1"/>
            </w14:solidFill>
          </w14:textFill>
        </w:rPr>
        <w:t>项目</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地点：</w:t>
      </w:r>
      <w:bookmarkEnd w:id="20"/>
      <w:r>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t xml:space="preserve">                                             </w:t>
      </w: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spacing w:line="360" w:lineRule="auto"/>
        <w:jc w:val="left"/>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甲  方：</w:t>
      </w:r>
      <w:r>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u w:val="single"/>
          <w:lang w:val="en-US" w:eastAsia="zh-CN"/>
          <w14:textFill>
            <w14:solidFill>
              <w14:schemeClr w14:val="tx1"/>
            </w14:solidFill>
          </w14:textFill>
        </w:rPr>
        <w:t>采购人</w:t>
      </w:r>
      <w:r>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t>）</w:t>
      </w: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spacing w:line="360" w:lineRule="auto"/>
        <w:jc w:val="left"/>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乙  方：</w:t>
      </w:r>
      <w:r>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t xml:space="preserve">                                                </w:t>
      </w:r>
    </w:p>
    <w:p>
      <w:pPr>
        <w:spacing w:line="360" w:lineRule="auto"/>
        <w:jc w:val="left"/>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 xml:space="preserve"> </w:t>
      </w:r>
    </w:p>
    <w:p>
      <w:pPr>
        <w:spacing w:line="360" w:lineRule="auto"/>
        <w:jc w:val="left"/>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spacing w:line="360" w:lineRule="auto"/>
        <w:jc w:val="left"/>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pStyle w:val="9"/>
        <w:ind w:left="239" w:leftChars="114" w:firstLine="3012" w:firstLineChars="1250"/>
        <w:outlineLvl w:val="0"/>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bookmarkStart w:id="21" w:name="_Toc10220"/>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签订日期：20</w:t>
      </w:r>
      <w:r>
        <w:rPr>
          <w:rFonts w:hint="eastAsia" w:asciiTheme="minorEastAsia" w:hAnsiTheme="minorEastAsia" w:eastAsiaTheme="minorEastAsia" w:cstheme="minorEastAsia"/>
          <w:b/>
          <w:color w:val="000000" w:themeColor="text1"/>
          <w:sz w:val="24"/>
          <w:highlight w:val="none"/>
          <w:lang w:val="en-US" w:eastAsia="zh-CN"/>
          <w14:textFill>
            <w14:solidFill>
              <w14:schemeClr w14:val="tx1"/>
            </w14:solidFill>
          </w14:textFill>
        </w:rPr>
        <w:t>20</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年  月</w:t>
      </w:r>
      <w:bookmarkEnd w:id="21"/>
    </w:p>
    <w:p>
      <w:pPr>
        <w:pStyle w:val="9"/>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pStyle w:val="9"/>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pStyle w:val="9"/>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spacing w:line="360" w:lineRule="auto"/>
        <w:jc w:val="center"/>
        <w:rPr>
          <w:rFonts w:hint="eastAsia" w:asciiTheme="minorEastAsia" w:hAnsiTheme="minorEastAsia" w:eastAsiaTheme="minorEastAsia" w:cstheme="minorEastAsia"/>
          <w:b/>
          <w:color w:val="000000" w:themeColor="text1"/>
          <w:sz w:val="28"/>
          <w:szCs w:val="28"/>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u w:val="single"/>
          <w:lang w:val="en-US" w:eastAsia="zh-CN"/>
          <w14:textFill>
            <w14:solidFill>
              <w14:schemeClr w14:val="tx1"/>
            </w14:solidFill>
          </w14:textFill>
        </w:rPr>
        <w:t>项           目            名            称</w:t>
      </w:r>
    </w:p>
    <w:p>
      <w:pPr>
        <w:spacing w:line="360" w:lineRule="auto"/>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委托合同</w:t>
      </w: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甲 方：                     （</w:t>
      </w:r>
      <w:r>
        <w:rPr>
          <w:rFonts w:hint="eastAsia" w:asciiTheme="minorEastAsia" w:hAnsiTheme="minorEastAsia" w:eastAsiaTheme="minorEastAsia" w:cstheme="minorEastAsia"/>
          <w:b/>
          <w:bCs w:val="0"/>
          <w:color w:val="000000" w:themeColor="text1"/>
          <w:sz w:val="28"/>
          <w:szCs w:val="28"/>
          <w:highlight w:val="none"/>
          <w:lang w:val="en-US" w:eastAsia="zh-CN"/>
          <w14:textFill>
            <w14:solidFill>
              <w14:schemeClr w14:val="tx1"/>
            </w14:solidFill>
          </w14:textFill>
        </w:rPr>
        <w:t>采购人</w:t>
      </w: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b w:val="0"/>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 xml:space="preserve">乙 方：       </w:t>
      </w:r>
      <w:r>
        <w:rPr>
          <w:rFonts w:hint="eastAsia" w:asciiTheme="minorEastAsia" w:hAnsiTheme="minorEastAsia" w:eastAsiaTheme="minorEastAsia" w:cstheme="minorEastAsia"/>
          <w:b w:val="0"/>
          <w:bCs/>
          <w:color w:val="000000" w:themeColor="text1"/>
          <w:sz w:val="28"/>
          <w:szCs w:val="28"/>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依照《中华人民共和国合同法》、《中华人民共和国建筑法》及其他有关法律、行政法规、遵循平等、志愿、公平和诚实信用的原则，双方就</w:t>
      </w:r>
      <w:r>
        <w:rPr>
          <w:rFonts w:hint="eastAsia" w:asciiTheme="minorEastAsia" w:hAnsiTheme="minorEastAsia" w:eastAsiaTheme="minorEastAsia" w:cstheme="minorEastAsia"/>
          <w:b w:val="0"/>
          <w:bCs/>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u w:val="single"/>
          <w:lang w:val="en-US" w:eastAsia="zh-CN"/>
          <w14:textFill>
            <w14:solidFill>
              <w14:schemeClr w14:val="tx1"/>
            </w14:solidFill>
          </w14:textFill>
        </w:rPr>
        <w:t>项目名称</w:t>
      </w:r>
      <w:r>
        <w:rPr>
          <w:rFonts w:hint="eastAsia" w:asciiTheme="minorEastAsia" w:hAnsiTheme="minorEastAsia" w:eastAsiaTheme="minorEastAsia" w:cstheme="minorEastAsia"/>
          <w:b w:val="0"/>
          <w:bCs/>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事项协商一致，订立本合同。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一、甲方委托承包人检测的</w:t>
      </w:r>
      <w:r>
        <w:rPr>
          <w:rFonts w:hint="eastAsia" w:asciiTheme="minorEastAsia" w:hAnsiTheme="minorEastAsia" w:eastAsiaTheme="minorEastAsia" w:cstheme="minorEastAsia"/>
          <w:b/>
          <w:bCs w:val="0"/>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bCs w:val="0"/>
          <w:color w:val="000000" w:themeColor="text1"/>
          <w:sz w:val="24"/>
          <w:szCs w:val="24"/>
          <w:highlight w:val="none"/>
          <w:u w:val="single"/>
          <w:lang w:val="en-US" w:eastAsia="zh-CN"/>
          <w14:textFill>
            <w14:solidFill>
              <w14:schemeClr w14:val="tx1"/>
            </w14:solidFill>
          </w14:textFill>
        </w:rPr>
        <w:t>项目名称</w:t>
      </w:r>
      <w:r>
        <w:rPr>
          <w:rFonts w:hint="eastAsia" w:asciiTheme="minorEastAsia" w:hAnsiTheme="minorEastAsia" w:eastAsiaTheme="minorEastAsia" w:cstheme="minorEastAsia"/>
          <w:b/>
          <w:bCs w:val="0"/>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概况如下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bookmarkStart w:id="22" w:name="_Toc18261"/>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1.1. 工程名称：</w:t>
      </w:r>
      <w:r>
        <w:rPr>
          <w:rFonts w:hint="eastAsia" w:asciiTheme="minorEastAsia" w:hAnsiTheme="minorEastAsia" w:eastAsiaTheme="minorEastAsia" w:cstheme="minorEastAsia"/>
          <w:b w:val="0"/>
          <w:bCs/>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u w:val="single"/>
          <w:lang w:val="en-US" w:eastAsia="zh-CN"/>
          <w14:textFill>
            <w14:solidFill>
              <w14:schemeClr w14:val="tx1"/>
            </w14:solidFill>
          </w14:textFill>
        </w:rPr>
        <w:t>项目名称</w:t>
      </w:r>
      <w:r>
        <w:rPr>
          <w:rFonts w:hint="eastAsia" w:asciiTheme="minorEastAsia" w:hAnsiTheme="minorEastAsia" w:eastAsiaTheme="minorEastAsia" w:cstheme="minorEastAsia"/>
          <w:b w:val="0"/>
          <w:bCs/>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（以下统称“本工程”）</w:t>
      </w:r>
      <w:bookmarkEnd w:id="22"/>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bookmarkStart w:id="23" w:name="_Toc7423"/>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1.2. </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项目</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地点：</w:t>
      </w:r>
      <w:bookmarkEnd w:id="2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bookmarkStart w:id="24" w:name="_Toc9595"/>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1.3. </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项目</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规模：</w:t>
      </w:r>
      <w:bookmarkEnd w:id="24"/>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二、合同承包范围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1、房屋结构安全隐患排查、检测等，主要对房屋结构安全状况进行鉴别、评定，为房屋安全鉴定和管理提供技术支撑。为招标人提供科学、可靠、有效的检测数据和检测报告。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2、检测主要内容</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对和田市5.3万户农户院内所有房屋进行安全性鉴定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3、每</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户房屋</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完成后均需出具三份检测报告</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等其他服务</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三、合同工期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3.1. 检测服务期：完成项目全过程检测服务，本</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项目</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服务期</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为</w:t>
      </w:r>
      <w:r>
        <w:rPr>
          <w:rFonts w:hint="eastAsia" w:ascii="宋体" w:hAnsi="宋体" w:cs="宋体"/>
          <w:sz w:val="24"/>
          <w:lang w:val="en-US" w:eastAsia="zh-CN"/>
        </w:rPr>
        <w:t>2020年6月10日前完成各乡镇房屋安全性鉴定工作</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3.</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.缺陷责任期：12个月</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四、质量标准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检测质量标准：符合国家相关的技术标准、规范、规程以及设计要求。</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五、合同价款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本工程检测</w:t>
      </w:r>
      <w:r>
        <w:rPr>
          <w:rFonts w:hint="eastAsia" w:asciiTheme="minorEastAsia" w:hAnsiTheme="minorEastAsia" w:eastAsiaTheme="minorEastAsia" w:cstheme="minorEastAsia"/>
          <w:b w:val="0"/>
          <w:bCs/>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，单价包干（中标价），金额：（大写）              （人民币），总价             元。包括试验费、检测费、材料费、加载车辆租赁费及过磅费、包括民工在内的所有人员工资、管理费、利润、税金、协调费等发生的一切费用。</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六、 为保证本</w:t>
      </w:r>
      <w:r>
        <w:rPr>
          <w:rFonts w:hint="eastAsia" w:asciiTheme="minorEastAsia" w:hAnsiTheme="minorEastAsia" w:eastAsiaTheme="minorEastAsia" w:cstheme="minorEastAsia"/>
          <w:b/>
          <w:bCs w:val="0"/>
          <w:color w:val="000000" w:themeColor="text1"/>
          <w:sz w:val="24"/>
          <w:szCs w:val="24"/>
          <w:highlight w:val="none"/>
          <w:lang w:val="en-US" w:eastAsia="zh-CN"/>
          <w14:textFill>
            <w14:solidFill>
              <w14:schemeClr w14:val="tx1"/>
            </w14:solidFill>
          </w14:textFill>
        </w:rPr>
        <w:t>项目</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检测工作正常开展，甲乙双方职责如下：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w:t>
      </w:r>
      <w:bookmarkStart w:id="25" w:name="_Toc16396"/>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6.1、甲方职责</w:t>
      </w:r>
      <w:bookmarkEnd w:id="25"/>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6.1.1提供本工程与检测有关的技术资料及文件；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6.1.2提供本工程第三方与检测有关的协调工作；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6.1.3为确保本工程检测工作正常开展，任何人不得干预检测工作的独立性、公正性与准确性。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bookmarkStart w:id="26" w:name="_Toc8956"/>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6.14负责审批乙方上报的项目检测实施规划及动态调整计划。</w:t>
      </w:r>
      <w:bookmarkEnd w:id="2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w:t>
      </w:r>
      <w:bookmarkStart w:id="27" w:name="_Toc13872"/>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6.2、乙方职责</w:t>
      </w:r>
      <w:bookmarkEnd w:id="2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6.2.1乙方进场后</w:t>
      </w:r>
      <w:r>
        <w:rPr>
          <w:rFonts w:hint="eastAsia" w:asciiTheme="minorEastAsia" w:hAnsiTheme="minorEastAsia" w:eastAsiaTheme="minorEastAsia" w:cstheme="minorEastAsia"/>
          <w:b w:val="0"/>
          <w:bCs/>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个工作日内编制本工程检测实施规划及动态调整计划报甲方审批；针对本项目的检测内容单独建立检测台帐，供甲方或甲方委托的监理人查阅；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6.2.2按照国家相关的技术标准、规范、规程以及设计要求开展检测工作、并对检测报告的真实性、准确性负责；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6.2.3配备必须的乙方员、设备，确保检测工作正常开展，及时向甲方提供检测报告；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6.2.4检测员现场工作期间，严格遵守本工程的安全管理制度，严防安全事故发生。当检测结果出现异常时（包括不合格或明显高于设计要求），必须第一时间通知甲方委托的监理人与甲方。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6.2.5 一般检测项目在收到检测试件24小时内完成检测并提供检测报告。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6.2.6每日 24小时收件（含假节日）。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6.2.7 提供试件的养护场所。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6.2.8到场检测项目在接到通知后48小时内到场检测。并及时提供检测报告。</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七、乙方的违约责任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在本合同履行过程中，乙方下述行为属违约：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7.1. 由于乙方原因终止合同，乙方应承担由此对甲方带来的全部损失。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7.2乙方的人员、设备未能按合同规定及时到位并开展工作。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7.3 拟投入本项目的主要人员未能按指定的日期进场，甲方对项目负责人按2000元/人·天扣除违约金；其它技术人员按1000元/人·天扣除违约金。设备未能按指定的日期进场并开展工作按2000元/天扣除违约金。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7.4乙方试验出现影响结果正确性的差错，必须及时改正，并按5万元/次扣除违约金，其它差错2000~5000元/次扣除违约金，并视情况上报质量监督机构。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7.5乙方抄袭其他类似工程试验检测数据、试验数据做假。一经甲方发现，则按30万元/次扣除乙方的违约金，并上报质量监督等部门作相应处理。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7.6 乙方未能在最佳检测时机进行测试，使检测数据缺项或不准确。一经甲方发现，则按2万元/次扣除扣除乙方的违约金。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7.7被上级主管部门及所属质量监督机构检查出现的其它问题的，视情况按1~5万元/次扣除扣除乙方的违约金。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7.8 未经甲方批准，乙方擅自撤离设备。一经甲方发现，则按2万元/次扣除扣除乙方的违约金。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7.9 乙方在投标文件中填报的项目负责人、其它人员不得随意更换，如有特殊情况需要更换时，项目负责人罚款4万元，其它人员罚款2万元，且拟派人员必须通过甲方的笔试与面试，经甲方同意后方允许更换。</w:t>
      </w:r>
    </w:p>
    <w:p>
      <w:pPr>
        <w:pStyle w:val="2"/>
        <w:ind w:firstLine="480" w:firstLineChars="200"/>
        <w:rPr>
          <w:rFonts w:hint="eastAsia" w:asciiTheme="minorEastAsia" w:hAnsiTheme="minorEastAsia" w:eastAsiaTheme="minorEastAsia" w:cstheme="minorEastAsia"/>
          <w:b w:val="0"/>
          <w:bCs/>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color w:val="000000" w:themeColor="text1"/>
          <w:kern w:val="2"/>
          <w:sz w:val="24"/>
          <w:szCs w:val="24"/>
          <w:highlight w:val="none"/>
          <w:lang w:val="en-US" w:eastAsia="zh-CN" w:bidi="ar-SA"/>
          <w14:textFill>
            <w14:solidFill>
              <w14:schemeClr w14:val="tx1"/>
            </w14:solidFill>
          </w14:textFill>
        </w:rPr>
        <w:t>7.10我单位严格按照采购人要求在2020年6月10日前完成各乡镇房屋安全性鉴定工作，不得出现工作差错，在此期间未按采购人规定期限完成各项工作我单位愿接受采购人给予5000元/天（日历天）的罚款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7.1</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乙方试验人员不能胜任本职工作，而乙方又不能按甲方要求及时更换的，扣除1万元/人次的违约金。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7.1</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在合同实施期间发现乙方提供了虚假资料，甲方有权从服务费或履约保证金中扣除不超过10%检测服务费的金额作为违约金。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7.1</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在乙方履约期间被交通主管部门或所属的质监局检查且核实后存在的其他检测问题，扣除1~5万元/次的违约金。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发生上述违约责任之一，甲方将从应付款或履约保证金中扣除乙方违约金。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八、质量检测费支付：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本工程无预付款，均按阶段支付进度款。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8.1基础完工，且乙方提交该部分质量检测报告后，甲方支付至合同金额的30%。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8.2主体结构工程完工，且乙方提交该部分质量检测报告后，甲方支付至合同金额的50%。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8.3乙方按合同约定完成全部质量检测工作，并提交完整的检测报告且项目竣工验收合格后，甲方支付至合同金额的70%。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8.4乙方按合同约定提交结算资料且办理结算完成后，甲方支付至结算金额的97%。剩余结算价款的</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%作为质保金，质保期一年，质保期满后经甲方确认未出现因建筑材料质量检测、检验试验等质量检测原因引起的质量事故，甲方支付剩余尾款。</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九、履约保证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9.1 乙方提供的履约保证为合同履约保证金，其金额为“ 合同总造价”的 10% ，即为：     元（大写：     ），其提交方式为：采用现金或转账支票。该保证金应在乙方收到甲方签发的中标通知书后7个工作日内提交，此合同履约保证金均不计利息。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9.2、履约保证金的返还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9.2.1主体结构验收完成，出具合格的检测试验报告后，且乙方无不良履约行为和违约责任时，甲方在30个工作日内支付乙方全部履约保证金；如有违约，则按本合同第七项进行处罚后， 30个工作日内一次性支付剩余履约保证金。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十、安全责任：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乙方应严格执行《中华人民共和国安全生产法》、中华人民共国国务院第302号文《国务院关于特大安全事故责任追究的规定》。检测过程中发生的一切安全责任事故、风险及费用由乙方自行承担。</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十一、违约责任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如因乙方技术失误导致对</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房屋结构</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的检测失误，根据实际情况乙方应免收或减收检测费用；给甲方造成损失的，按照《中华人民共和国合同法》的相关规定要求，需向建设单位支付赔偿金。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乙方拟派的本项目检测相关人员均不得更换，否则甲方有权取消其中标资格或者终止合同，没收其投标保证金或则履约保证金，对甲方造成的损失还应承担相应责任。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项目负责人、技术负责人在专项检测时必须到场，相关专项检测的人员在其对应专项检测时也均需到场。项目负责人和技术负责人每缺席一次罚款1万元，对应检测时的检测人员每缺席一人罚款0.5万元。</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十二、组成合同的文件包括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12.1、本合同协议书；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12.2、中标通知书；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12.3、报价明细表；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12.4、在合同实施过程中，双方共同洽商签署的变更、补充与修正等书面协议或文件。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十三、其他说明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13.1乙方向甲方承诺按照合同条款中约定的方式进行检测并提交检测成果报告。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13.2甲方向乙方承诺按照合同条款中约定的期限和方式支付合同价款及其他应当支付的款项。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13.3合同生效</w:t>
      </w:r>
    </w:p>
    <w:p>
      <w:pPr>
        <w:ind w:firstLine="240" w:firstLineChars="100"/>
        <w:rPr>
          <w:rFonts w:hint="eastAsia" w:ascii="宋体" w:hAnsi="宋体"/>
          <w:color w:val="000000"/>
          <w:sz w:val="24"/>
          <w:szCs w:val="24"/>
        </w:rPr>
      </w:pPr>
      <w:r>
        <w:rPr>
          <w:rFonts w:hint="eastAsia" w:ascii="宋体" w:hAnsi="宋体"/>
          <w:color w:val="000000"/>
          <w:sz w:val="24"/>
          <w:szCs w:val="24"/>
        </w:rPr>
        <w:t>合同订立时间：     年  月  日</w:t>
      </w:r>
    </w:p>
    <w:p>
      <w:pPr>
        <w:ind w:firstLine="240" w:firstLineChars="100"/>
        <w:rPr>
          <w:rFonts w:hint="eastAsia" w:ascii="宋体" w:hAnsi="宋体"/>
          <w:color w:val="000000"/>
          <w:sz w:val="24"/>
          <w:szCs w:val="24"/>
        </w:rPr>
      </w:pPr>
      <w:r>
        <w:rPr>
          <w:rFonts w:hint="eastAsia" w:ascii="宋体" w:hAnsi="宋体"/>
          <w:color w:val="000000"/>
          <w:sz w:val="24"/>
          <w:szCs w:val="24"/>
        </w:rPr>
        <w:t>合同订立地点：</w:t>
      </w:r>
    </w:p>
    <w:p>
      <w:pPr>
        <w:ind w:firstLine="240" w:firstLineChars="100"/>
        <w:rPr>
          <w:rFonts w:hint="eastAsia" w:ascii="宋体" w:hAnsi="宋体"/>
          <w:color w:val="000000"/>
          <w:sz w:val="24"/>
          <w:szCs w:val="24"/>
        </w:rPr>
      </w:pPr>
      <w:r>
        <w:rPr>
          <w:rFonts w:hint="eastAsia" w:ascii="宋体" w:hAnsi="宋体"/>
          <w:color w:val="000000"/>
          <w:sz w:val="24"/>
          <w:szCs w:val="24"/>
        </w:rPr>
        <w:t>本合同双方约定：双方法定代表人或授权委托代理人签字盖章后，本合同即开始生效。</w:t>
      </w:r>
    </w:p>
    <w:p>
      <w:pPr>
        <w:ind w:firstLine="240" w:firstLineChars="100"/>
        <w:rPr>
          <w:rFonts w:hint="eastAsia" w:ascii="宋体" w:hAnsi="宋体"/>
          <w:color w:val="000000"/>
          <w:sz w:val="24"/>
          <w:szCs w:val="24"/>
        </w:rPr>
      </w:pPr>
      <w:r>
        <w:rPr>
          <w:rFonts w:hint="eastAsia" w:ascii="宋体" w:hAnsi="宋体"/>
          <w:color w:val="000000"/>
          <w:sz w:val="24"/>
          <w:szCs w:val="24"/>
        </w:rPr>
        <w:t>13.4本合同变更必须由双方协商一致，并以书面形式确定。本合同未尽事宜双方应协商、调解解决。</w:t>
      </w:r>
    </w:p>
    <w:p>
      <w:pPr>
        <w:ind w:firstLine="240" w:firstLineChars="100"/>
        <w:rPr>
          <w:rFonts w:hint="eastAsia" w:ascii="宋体" w:hAnsi="宋体"/>
          <w:color w:val="000000"/>
          <w:sz w:val="24"/>
          <w:szCs w:val="24"/>
        </w:rPr>
      </w:pPr>
      <w:r>
        <w:rPr>
          <w:rFonts w:hint="eastAsia" w:ascii="宋体" w:hAnsi="宋体"/>
          <w:color w:val="000000"/>
          <w:sz w:val="24"/>
          <w:szCs w:val="24"/>
        </w:rPr>
        <w:t>13.5合同争议</w:t>
      </w:r>
    </w:p>
    <w:p>
      <w:pPr>
        <w:ind w:firstLine="240" w:firstLineChars="100"/>
        <w:rPr>
          <w:rFonts w:hint="eastAsia" w:ascii="宋体" w:hAnsi="宋体"/>
          <w:color w:val="000000"/>
          <w:sz w:val="24"/>
          <w:szCs w:val="24"/>
        </w:rPr>
      </w:pPr>
      <w:r>
        <w:rPr>
          <w:rFonts w:hint="eastAsia" w:ascii="宋体" w:hAnsi="宋体"/>
          <w:color w:val="000000"/>
          <w:sz w:val="24"/>
          <w:szCs w:val="24"/>
        </w:rPr>
        <w:t>13.5.1本合同适用中华人民共和国相关法律和法规。</w:t>
      </w:r>
    </w:p>
    <w:p>
      <w:pPr>
        <w:ind w:firstLine="240" w:firstLineChars="100"/>
        <w:rPr>
          <w:rFonts w:hint="eastAsia" w:ascii="宋体" w:hAnsi="宋体"/>
          <w:color w:val="000000"/>
          <w:sz w:val="24"/>
          <w:szCs w:val="24"/>
        </w:rPr>
      </w:pPr>
      <w:r>
        <w:rPr>
          <w:rFonts w:hint="eastAsia" w:ascii="宋体" w:hAnsi="宋体"/>
          <w:color w:val="000000"/>
          <w:sz w:val="24"/>
          <w:szCs w:val="24"/>
        </w:rPr>
        <w:t>13.5.2 因履行本合同所产生的争议，由甲乙双方协商解决，协商不成的双方同意按下列第（二）种方式解决：</w:t>
      </w:r>
    </w:p>
    <w:p>
      <w:pPr>
        <w:ind w:firstLine="240" w:firstLineChars="100"/>
        <w:outlineLvl w:val="0"/>
        <w:rPr>
          <w:rFonts w:hint="eastAsia" w:ascii="宋体" w:hAnsi="宋体"/>
          <w:color w:val="000000"/>
          <w:sz w:val="24"/>
          <w:szCs w:val="24"/>
        </w:rPr>
      </w:pPr>
      <w:bookmarkStart w:id="28" w:name="_Toc3258"/>
      <w:r>
        <w:rPr>
          <w:rFonts w:hint="eastAsia" w:ascii="宋体" w:hAnsi="宋体"/>
          <w:color w:val="000000"/>
          <w:sz w:val="24"/>
          <w:szCs w:val="24"/>
        </w:rPr>
        <w:t>（一）提交  / 仲裁委员会仲裁；</w:t>
      </w:r>
      <w:bookmarkEnd w:id="28"/>
    </w:p>
    <w:p>
      <w:pPr>
        <w:ind w:firstLine="240" w:firstLineChars="100"/>
        <w:outlineLvl w:val="0"/>
        <w:rPr>
          <w:rFonts w:hint="eastAsia" w:ascii="宋体" w:hAnsi="宋体"/>
          <w:color w:val="000000"/>
          <w:sz w:val="24"/>
          <w:szCs w:val="24"/>
        </w:rPr>
      </w:pPr>
      <w:bookmarkStart w:id="29" w:name="_Toc19483"/>
      <w:r>
        <w:rPr>
          <w:rFonts w:hint="eastAsia" w:ascii="宋体" w:hAnsi="宋体"/>
          <w:color w:val="000000"/>
          <w:sz w:val="24"/>
          <w:szCs w:val="24"/>
        </w:rPr>
        <w:t>（二）依法向甲方所在地人民法院起诉。</w:t>
      </w:r>
      <w:bookmarkEnd w:id="29"/>
    </w:p>
    <w:p>
      <w:pPr>
        <w:ind w:firstLine="240" w:firstLineChars="100"/>
        <w:rPr>
          <w:rFonts w:hint="eastAsia" w:ascii="宋体" w:hAnsi="宋体"/>
          <w:color w:val="000000"/>
          <w:sz w:val="24"/>
          <w:szCs w:val="24"/>
        </w:rPr>
      </w:pPr>
      <w:r>
        <w:rPr>
          <w:rFonts w:hint="eastAsia" w:ascii="宋体" w:hAnsi="宋体"/>
          <w:color w:val="000000"/>
          <w:sz w:val="24"/>
          <w:szCs w:val="24"/>
        </w:rPr>
        <w:t>十四、本合同一式拾份，甲方执捌份、乙方执贰份，具有同等法律效益。</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甲   方：                         </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住   所：                               </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法定代表人：                             </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委托代理人：                            </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经      办：                              </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乙      方： </w:t>
      </w:r>
    </w:p>
    <w:p>
      <w:pPr>
        <w:ind w:firstLine="240" w:firstLineChars="100"/>
        <w:rPr>
          <w:rFonts w:hint="eastAsia" w:ascii="宋体" w:hAnsi="宋体"/>
          <w:color w:val="000000"/>
          <w:sz w:val="24"/>
          <w:szCs w:val="24"/>
        </w:rPr>
      </w:pPr>
      <w:r>
        <w:rPr>
          <w:rFonts w:hint="eastAsia" w:ascii="宋体" w:hAnsi="宋体"/>
          <w:color w:val="000000"/>
          <w:sz w:val="24"/>
          <w:szCs w:val="24"/>
        </w:rPr>
        <w:t>住      所：</w:t>
      </w:r>
    </w:p>
    <w:p>
      <w:pPr>
        <w:ind w:firstLine="240" w:firstLineChars="100"/>
        <w:rPr>
          <w:rFonts w:hint="eastAsia" w:ascii="宋体" w:hAnsi="宋体"/>
          <w:color w:val="000000"/>
          <w:sz w:val="24"/>
          <w:szCs w:val="24"/>
        </w:rPr>
      </w:pPr>
      <w:r>
        <w:rPr>
          <w:rFonts w:hint="eastAsia" w:ascii="宋体" w:hAnsi="宋体"/>
          <w:color w:val="000000"/>
          <w:sz w:val="24"/>
          <w:szCs w:val="24"/>
        </w:rPr>
        <w:t>法定代表人：</w:t>
      </w:r>
    </w:p>
    <w:p>
      <w:pPr>
        <w:ind w:firstLine="240" w:firstLineChars="100"/>
        <w:rPr>
          <w:rFonts w:hint="eastAsia" w:ascii="宋体" w:hAnsi="宋体"/>
          <w:color w:val="000000"/>
          <w:sz w:val="24"/>
          <w:szCs w:val="24"/>
        </w:rPr>
      </w:pPr>
      <w:r>
        <w:rPr>
          <w:rFonts w:hint="eastAsia" w:ascii="宋体" w:hAnsi="宋体"/>
          <w:color w:val="000000"/>
          <w:sz w:val="24"/>
          <w:szCs w:val="24"/>
        </w:rPr>
        <w:t>经      办：</w:t>
      </w:r>
    </w:p>
    <w:p>
      <w:pPr>
        <w:ind w:firstLine="240" w:firstLineChars="100"/>
        <w:rPr>
          <w:rFonts w:hint="eastAsia" w:ascii="宋体" w:hAnsi="宋体"/>
          <w:color w:val="000000"/>
          <w:sz w:val="24"/>
          <w:szCs w:val="24"/>
        </w:rPr>
      </w:pPr>
      <w:r>
        <w:rPr>
          <w:rFonts w:hint="eastAsia" w:ascii="宋体" w:hAnsi="宋体"/>
          <w:color w:val="000000"/>
          <w:sz w:val="24"/>
          <w:szCs w:val="24"/>
        </w:rPr>
        <w:t>年     月    日</w:t>
      </w:r>
    </w:p>
    <w:p>
      <w:pPr>
        <w:pStyle w:val="9"/>
        <w:rPr>
          <w:rFonts w:hint="eastAsia" w:ascii="宋体" w:hAnsi="宋体" w:cs="宋体"/>
          <w:sz w:val="24"/>
        </w:rPr>
      </w:pPr>
    </w:p>
    <w:p>
      <w:pPr>
        <w:rPr>
          <w:rFonts w:hint="eastAsia" w:ascii="宋体" w:hAnsi="宋体" w:cs="宋体"/>
          <w:sz w:val="24"/>
        </w:rPr>
      </w:pPr>
    </w:p>
    <w:p>
      <w:pPr>
        <w:pStyle w:val="2"/>
        <w:rPr>
          <w:rFonts w:hint="eastAsia"/>
        </w:rPr>
      </w:pPr>
    </w:p>
    <w:p>
      <w:pPr>
        <w:pStyle w:val="9"/>
        <w:rPr>
          <w:rFonts w:hint="eastAsia" w:ascii="宋体" w:hAnsi="宋体" w:cs="宋体"/>
          <w:sz w:val="24"/>
        </w:rPr>
      </w:pPr>
    </w:p>
    <w:p>
      <w:pPr>
        <w:pStyle w:val="9"/>
        <w:ind w:left="0" w:leftChars="0" w:firstLine="0" w:firstLineChars="0"/>
        <w:rPr>
          <w:rFonts w:ascii="宋体" w:hAnsi="宋体" w:cs="宋体"/>
          <w:sz w:val="24"/>
        </w:rPr>
      </w:pPr>
    </w:p>
    <w:p>
      <w:pPr>
        <w:pStyle w:val="9"/>
        <w:rPr>
          <w:rFonts w:ascii="宋体" w:hAnsi="宋体" w:cs="宋体"/>
          <w:sz w:val="24"/>
        </w:rPr>
      </w:pPr>
    </w:p>
    <w:p>
      <w:pPr>
        <w:pStyle w:val="158"/>
        <w:numPr>
          <w:ilvl w:val="0"/>
          <w:numId w:val="11"/>
        </w:numPr>
        <w:spacing w:line="380" w:lineRule="exact"/>
        <w:jc w:val="center"/>
        <w:outlineLvl w:val="0"/>
        <w:rPr>
          <w:rFonts w:ascii="宋体" w:hAnsi="宋体"/>
          <w:b/>
          <w:color w:val="auto"/>
          <w:sz w:val="28"/>
          <w:szCs w:val="28"/>
        </w:rPr>
      </w:pPr>
      <w:bookmarkStart w:id="30" w:name="_Toc10926"/>
      <w:r>
        <w:rPr>
          <w:rFonts w:hint="eastAsia" w:ascii="宋体" w:hAnsi="宋体"/>
          <w:b/>
          <w:color w:val="auto"/>
          <w:sz w:val="28"/>
          <w:szCs w:val="28"/>
        </w:rPr>
        <w:t>投标文件格式</w:t>
      </w:r>
      <w:bookmarkEnd w:id="30"/>
    </w:p>
    <w:p>
      <w:pPr>
        <w:pStyle w:val="158"/>
        <w:spacing w:line="380" w:lineRule="exact"/>
        <w:jc w:val="center"/>
        <w:rPr>
          <w:rFonts w:ascii="宋体" w:hAnsi="宋体"/>
          <w:b/>
          <w:color w:val="auto"/>
          <w:sz w:val="28"/>
          <w:szCs w:val="28"/>
        </w:rPr>
      </w:pPr>
    </w:p>
    <w:p>
      <w:pPr>
        <w:pStyle w:val="158"/>
        <w:spacing w:line="480" w:lineRule="auto"/>
        <w:jc w:val="left"/>
        <w:outlineLvl w:val="0"/>
        <w:rPr>
          <w:rFonts w:hint="default" w:ascii="仿宋_GB2312" w:hAnsi="宋体" w:eastAsia="仿宋_GB2312"/>
          <w:sz w:val="28"/>
          <w:szCs w:val="28"/>
          <w:bdr w:val="single" w:color="auto" w:sz="4" w:space="0"/>
          <w:lang w:val="en-US" w:eastAsia="zh-CN"/>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 xml:space="preserve"> </w:t>
      </w:r>
      <w:bookmarkStart w:id="31" w:name="_Toc18369"/>
      <w:r>
        <w:rPr>
          <w:rFonts w:hint="eastAsia" w:ascii="仿宋_GB2312" w:hAnsi="宋体" w:eastAsia="仿宋_GB2312"/>
          <w:sz w:val="28"/>
          <w:szCs w:val="28"/>
          <w:bdr w:val="single" w:color="auto" w:sz="4" w:space="0"/>
        </w:rPr>
        <w:t>正本</w:t>
      </w:r>
      <w:r>
        <w:rPr>
          <w:rFonts w:hint="eastAsia" w:ascii="仿宋_GB2312" w:hAnsi="宋体" w:eastAsia="仿宋_GB2312"/>
          <w:sz w:val="28"/>
          <w:szCs w:val="28"/>
          <w:bdr w:val="single" w:color="auto" w:sz="4" w:space="0"/>
          <w:lang w:val="en-US" w:eastAsia="zh-CN"/>
        </w:rPr>
        <w:t>/副本</w:t>
      </w:r>
      <w:bookmarkEnd w:id="31"/>
    </w:p>
    <w:p>
      <w:pPr>
        <w:pStyle w:val="158"/>
        <w:spacing w:line="380" w:lineRule="exact"/>
        <w:jc w:val="center"/>
        <w:rPr>
          <w:rFonts w:ascii="仿宋_GB2312" w:hAnsi="宋体" w:eastAsia="仿宋_GB2312"/>
          <w:sz w:val="28"/>
          <w:szCs w:val="28"/>
        </w:rPr>
      </w:pPr>
    </w:p>
    <w:p>
      <w:pPr>
        <w:ind w:left="140" w:right="980" w:hanging="140"/>
        <w:jc w:val="center"/>
        <w:rPr>
          <w:rFonts w:ascii="宋体" w:hAnsi="宋体"/>
          <w:color w:val="000000"/>
          <w:sz w:val="28"/>
          <w:szCs w:val="28"/>
        </w:rPr>
      </w:pPr>
      <w:r>
        <w:rPr>
          <w:rFonts w:hint="eastAsia" w:ascii="宋体" w:hAnsi="宋体"/>
          <w:color w:val="000000"/>
          <w:sz w:val="28"/>
          <w:szCs w:val="28"/>
          <w:u w:val="single"/>
        </w:rPr>
        <w:t xml:space="preserve">                                       </w:t>
      </w:r>
      <w:r>
        <w:rPr>
          <w:rFonts w:hint="eastAsia" w:ascii="宋体" w:hAnsi="宋体"/>
          <w:color w:val="000000"/>
          <w:sz w:val="28"/>
          <w:szCs w:val="28"/>
        </w:rPr>
        <w:t xml:space="preserve"> （项目名称）</w:t>
      </w:r>
    </w:p>
    <w:p>
      <w:pPr>
        <w:ind w:left="100" w:hanging="100"/>
        <w:rPr>
          <w:rFonts w:ascii="宋体" w:hAnsi="宋体"/>
          <w:color w:val="000000"/>
          <w:sz w:val="28"/>
          <w:szCs w:val="28"/>
        </w:rPr>
      </w:pPr>
      <w:r>
        <w:rPr>
          <w:rFonts w:hint="eastAsia" w:ascii="宋体" w:hAnsi="宋体"/>
          <w:color w:val="000000"/>
          <w:sz w:val="20"/>
        </w:rPr>
        <w:t xml:space="preserve">             </w:t>
      </w:r>
    </w:p>
    <w:p>
      <w:pPr>
        <w:ind w:firstLine="280" w:firstLineChars="100"/>
        <w:outlineLvl w:val="0"/>
        <w:rPr>
          <w:rFonts w:ascii="宋体" w:hAnsi="宋体"/>
          <w:color w:val="000000"/>
          <w:sz w:val="28"/>
          <w:szCs w:val="28"/>
          <w:u w:val="single"/>
        </w:rPr>
      </w:pPr>
      <w:r>
        <w:rPr>
          <w:rFonts w:hint="eastAsia" w:ascii="宋体" w:hAnsi="宋体"/>
          <w:color w:val="000000"/>
          <w:sz w:val="28"/>
          <w:szCs w:val="28"/>
        </w:rPr>
        <w:t xml:space="preserve">     </w:t>
      </w:r>
      <w:bookmarkStart w:id="32" w:name="_Toc22871"/>
      <w:r>
        <w:rPr>
          <w:rFonts w:hint="eastAsia" w:ascii="宋体" w:hAnsi="宋体"/>
          <w:color w:val="000000"/>
          <w:sz w:val="28"/>
          <w:szCs w:val="28"/>
        </w:rPr>
        <w:t>招标文件编号：</w:t>
      </w:r>
      <w:bookmarkEnd w:id="32"/>
      <w:r>
        <w:rPr>
          <w:rFonts w:hint="eastAsia" w:ascii="宋体" w:hAnsi="宋体"/>
          <w:color w:val="000000"/>
          <w:sz w:val="28"/>
          <w:szCs w:val="28"/>
        </w:rPr>
        <w:t xml:space="preserve"> </w:t>
      </w:r>
      <w:r>
        <w:rPr>
          <w:rFonts w:hint="eastAsia" w:ascii="宋体" w:hAnsi="宋体"/>
          <w:color w:val="000000"/>
          <w:sz w:val="28"/>
          <w:szCs w:val="28"/>
          <w:u w:val="single"/>
        </w:rPr>
        <w:t xml:space="preserve">                      </w:t>
      </w:r>
    </w:p>
    <w:p>
      <w:pPr>
        <w:ind w:left="100" w:hanging="100"/>
        <w:rPr>
          <w:rFonts w:ascii="宋体" w:hAnsi="宋体"/>
          <w:color w:val="000000"/>
          <w:sz w:val="20"/>
        </w:rPr>
      </w:pPr>
    </w:p>
    <w:p>
      <w:pPr>
        <w:ind w:left="100" w:hanging="100"/>
        <w:rPr>
          <w:rFonts w:ascii="宋体" w:hAnsi="宋体"/>
          <w:color w:val="000000"/>
          <w:sz w:val="20"/>
        </w:rPr>
      </w:pPr>
    </w:p>
    <w:p>
      <w:pPr>
        <w:ind w:left="100" w:hanging="100"/>
        <w:rPr>
          <w:rFonts w:ascii="宋体" w:hAnsi="宋体"/>
          <w:color w:val="000000"/>
          <w:sz w:val="20"/>
        </w:rPr>
      </w:pPr>
    </w:p>
    <w:p>
      <w:pPr>
        <w:ind w:left="100" w:hanging="100"/>
        <w:rPr>
          <w:rFonts w:ascii="宋体" w:hAnsi="宋体"/>
          <w:color w:val="000000"/>
          <w:sz w:val="20"/>
        </w:rPr>
      </w:pPr>
    </w:p>
    <w:p>
      <w:pPr>
        <w:ind w:left="100" w:hanging="100"/>
        <w:rPr>
          <w:rFonts w:ascii="宋体" w:hAnsi="宋体"/>
          <w:color w:val="000000"/>
          <w:sz w:val="20"/>
        </w:rPr>
      </w:pPr>
    </w:p>
    <w:p>
      <w:pPr>
        <w:ind w:left="221" w:hanging="221"/>
        <w:jc w:val="center"/>
        <w:rPr>
          <w:rFonts w:ascii="宋体" w:hAnsi="宋体"/>
          <w:b/>
          <w:bCs/>
          <w:color w:val="000000"/>
          <w:sz w:val="44"/>
          <w:szCs w:val="44"/>
        </w:rPr>
      </w:pPr>
      <w:r>
        <w:rPr>
          <w:rFonts w:hint="eastAsia" w:ascii="宋体" w:hAnsi="宋体"/>
          <w:b/>
          <w:bCs/>
          <w:color w:val="000000"/>
          <w:sz w:val="44"/>
          <w:szCs w:val="44"/>
        </w:rPr>
        <w:t>投  标  文  件</w:t>
      </w:r>
    </w:p>
    <w:p>
      <w:pPr>
        <w:ind w:left="141" w:hanging="141"/>
        <w:rPr>
          <w:rFonts w:ascii="宋体" w:hAnsi="宋体"/>
          <w:b/>
          <w:bCs/>
          <w:color w:val="000000"/>
          <w:sz w:val="28"/>
          <w:szCs w:val="28"/>
        </w:rPr>
      </w:pPr>
    </w:p>
    <w:p>
      <w:pPr>
        <w:ind w:left="105" w:hanging="105"/>
        <w:rPr>
          <w:rFonts w:ascii="宋体" w:hAnsi="宋体"/>
          <w:color w:val="000000"/>
        </w:rPr>
      </w:pPr>
    </w:p>
    <w:p>
      <w:pPr>
        <w:ind w:left="150" w:hanging="150"/>
        <w:rPr>
          <w:rFonts w:ascii="宋体" w:hAnsi="宋体"/>
          <w:bCs/>
          <w:color w:val="000000"/>
          <w:sz w:val="30"/>
          <w:szCs w:val="30"/>
        </w:rPr>
      </w:pPr>
    </w:p>
    <w:p>
      <w:pPr>
        <w:ind w:left="150" w:hanging="150"/>
        <w:rPr>
          <w:rFonts w:ascii="宋体" w:hAnsi="宋体"/>
          <w:bCs/>
          <w:color w:val="000000"/>
          <w:sz w:val="30"/>
          <w:szCs w:val="30"/>
        </w:rPr>
      </w:pPr>
    </w:p>
    <w:p>
      <w:pPr>
        <w:ind w:left="150" w:hanging="150"/>
        <w:rPr>
          <w:rFonts w:ascii="宋体" w:hAnsi="宋体"/>
          <w:bCs/>
          <w:color w:val="000000"/>
          <w:sz w:val="30"/>
          <w:szCs w:val="30"/>
        </w:rPr>
      </w:pPr>
    </w:p>
    <w:p>
      <w:pPr>
        <w:ind w:left="140" w:hanging="140"/>
        <w:outlineLvl w:val="0"/>
        <w:rPr>
          <w:rFonts w:ascii="宋体" w:hAnsi="宋体"/>
          <w:color w:val="000000"/>
          <w:sz w:val="28"/>
          <w:szCs w:val="28"/>
          <w:u w:val="single"/>
        </w:rPr>
      </w:pPr>
      <w:r>
        <w:rPr>
          <w:rFonts w:hint="eastAsia" w:ascii="宋体" w:hAnsi="宋体"/>
          <w:color w:val="000000"/>
          <w:sz w:val="28"/>
          <w:szCs w:val="28"/>
        </w:rPr>
        <w:t xml:space="preserve">      </w:t>
      </w:r>
      <w:bookmarkStart w:id="33" w:name="_Toc28823"/>
      <w:r>
        <w:rPr>
          <w:rFonts w:hint="eastAsia" w:ascii="宋体" w:hAnsi="宋体"/>
          <w:color w:val="000000"/>
          <w:sz w:val="28"/>
          <w:szCs w:val="28"/>
        </w:rPr>
        <w:t>投标人：</w:t>
      </w:r>
      <w:r>
        <w:rPr>
          <w:rFonts w:hint="eastAsia" w:ascii="宋体" w:hAnsi="宋体"/>
          <w:color w:val="000000"/>
          <w:sz w:val="28"/>
          <w:szCs w:val="28"/>
          <w:u w:val="single"/>
        </w:rPr>
        <w:t xml:space="preserve">                              </w:t>
      </w:r>
      <w:r>
        <w:rPr>
          <w:rFonts w:hint="eastAsia" w:ascii="宋体" w:hAnsi="宋体"/>
          <w:color w:val="000000"/>
          <w:sz w:val="28"/>
          <w:szCs w:val="28"/>
        </w:rPr>
        <w:t>（盖单位章）</w:t>
      </w:r>
      <w:bookmarkEnd w:id="33"/>
    </w:p>
    <w:p>
      <w:pPr>
        <w:ind w:left="140" w:hanging="140"/>
        <w:jc w:val="center"/>
        <w:rPr>
          <w:rFonts w:ascii="宋体" w:hAnsi="宋体"/>
          <w:color w:val="000000"/>
          <w:sz w:val="28"/>
          <w:szCs w:val="28"/>
        </w:rPr>
      </w:pPr>
    </w:p>
    <w:p>
      <w:pPr>
        <w:ind w:firstLine="700" w:firstLineChars="250"/>
        <w:outlineLvl w:val="0"/>
        <w:rPr>
          <w:rFonts w:ascii="宋体" w:hAnsi="宋体"/>
          <w:color w:val="000000"/>
          <w:sz w:val="28"/>
          <w:szCs w:val="28"/>
        </w:rPr>
      </w:pPr>
      <w:r>
        <w:rPr>
          <w:rFonts w:hint="eastAsia" w:ascii="宋体" w:hAnsi="宋体"/>
          <w:color w:val="000000"/>
          <w:sz w:val="28"/>
          <w:szCs w:val="28"/>
        </w:rPr>
        <w:t xml:space="preserve"> </w:t>
      </w:r>
      <w:bookmarkStart w:id="34" w:name="_Toc29565"/>
      <w:r>
        <w:rPr>
          <w:rFonts w:hint="eastAsia" w:ascii="宋体" w:hAnsi="宋体"/>
          <w:color w:val="000000"/>
          <w:sz w:val="28"/>
          <w:szCs w:val="28"/>
        </w:rPr>
        <w:t>法定代表人：</w:t>
      </w:r>
      <w:r>
        <w:rPr>
          <w:rFonts w:hint="eastAsia" w:ascii="宋体" w:hAnsi="宋体"/>
          <w:color w:val="000000"/>
          <w:sz w:val="28"/>
          <w:szCs w:val="28"/>
          <w:u w:val="single"/>
        </w:rPr>
        <w:t xml:space="preserve">                          </w:t>
      </w:r>
      <w:r>
        <w:rPr>
          <w:rFonts w:hint="eastAsia" w:ascii="宋体" w:hAnsi="宋体"/>
          <w:color w:val="000000"/>
          <w:sz w:val="28"/>
          <w:szCs w:val="28"/>
        </w:rPr>
        <w:t>（签字或盖章）</w:t>
      </w:r>
      <w:bookmarkEnd w:id="34"/>
    </w:p>
    <w:p>
      <w:pPr>
        <w:ind w:left="105" w:hanging="105"/>
        <w:jc w:val="center"/>
        <w:rPr>
          <w:rFonts w:ascii="宋体" w:hAnsi="宋体"/>
          <w:color w:val="000000"/>
        </w:rPr>
      </w:pPr>
      <w:r>
        <w:rPr>
          <w:rFonts w:hint="eastAsia" w:ascii="宋体" w:hAnsi="宋体"/>
          <w:color w:val="000000"/>
        </w:rPr>
        <w:t xml:space="preserve">      </w:t>
      </w:r>
    </w:p>
    <w:p>
      <w:pPr>
        <w:ind w:left="105" w:hanging="105"/>
        <w:jc w:val="center"/>
        <w:rPr>
          <w:rFonts w:ascii="宋体" w:hAnsi="宋体"/>
          <w:color w:val="000000"/>
        </w:rPr>
      </w:pPr>
    </w:p>
    <w:p>
      <w:pPr>
        <w:ind w:left="140" w:hanging="140"/>
        <w:jc w:val="center"/>
        <w:rPr>
          <w:rFonts w:ascii="宋体" w:hAnsi="宋体"/>
          <w:color w:val="000000"/>
          <w:sz w:val="28"/>
          <w:szCs w:val="28"/>
        </w:rPr>
      </w:pPr>
      <w:r>
        <w:rPr>
          <w:rFonts w:hint="eastAsia" w:ascii="宋体" w:hAnsi="宋体"/>
          <w:color w:val="000000"/>
          <w:sz w:val="28"/>
          <w:szCs w:val="28"/>
        </w:rPr>
        <w:t xml:space="preserve"> 年        月        日</w:t>
      </w:r>
    </w:p>
    <w:p>
      <w:pPr>
        <w:ind w:left="0" w:leftChars="0" w:firstLine="0" w:firstLineChars="0"/>
        <w:jc w:val="both"/>
        <w:rPr>
          <w:rFonts w:ascii="宋体" w:hAnsi="宋体"/>
          <w:b/>
          <w:bCs/>
          <w:color w:val="000000"/>
          <w:sz w:val="44"/>
          <w:szCs w:val="44"/>
        </w:rPr>
      </w:pPr>
    </w:p>
    <w:p>
      <w:pPr>
        <w:ind w:left="221" w:hanging="221"/>
        <w:jc w:val="center"/>
        <w:rPr>
          <w:rFonts w:hint="eastAsia" w:ascii="宋体" w:hAnsi="宋体" w:eastAsia="宋体" w:cs="Times New Roman"/>
          <w:b/>
          <w:color w:val="auto"/>
          <w:kern w:val="0"/>
          <w:sz w:val="28"/>
          <w:szCs w:val="28"/>
          <w:lang w:val="en-US" w:eastAsia="zh-CN" w:bidi="ar-SA"/>
        </w:rPr>
      </w:pPr>
      <w:r>
        <w:rPr>
          <w:rFonts w:hint="eastAsia" w:ascii="宋体" w:hAnsi="宋体" w:eastAsia="宋体" w:cs="Times New Roman"/>
          <w:b/>
          <w:color w:val="auto"/>
          <w:kern w:val="0"/>
          <w:sz w:val="28"/>
          <w:szCs w:val="28"/>
          <w:lang w:val="en-US" w:eastAsia="zh-CN" w:bidi="ar-SA"/>
        </w:rPr>
        <w:t>第一部分 经济报价部分</w:t>
      </w:r>
    </w:p>
    <w:p>
      <w:pPr>
        <w:spacing w:line="440" w:lineRule="exact"/>
        <w:ind w:left="120" w:hanging="120"/>
        <w:jc w:val="center"/>
        <w:outlineLvl w:val="0"/>
        <w:rPr>
          <w:rFonts w:ascii="宋体" w:hAnsi="宋体" w:cs="宋体"/>
          <w:sz w:val="24"/>
          <w:lang w:val="zh-CN"/>
        </w:rPr>
      </w:pPr>
      <w:bookmarkStart w:id="35" w:name="_Toc19147"/>
      <w:r>
        <w:rPr>
          <w:rFonts w:hint="eastAsia" w:ascii="宋体" w:hAnsi="宋体" w:cs="宋体"/>
          <w:sz w:val="24"/>
          <w:lang w:val="zh-CN"/>
        </w:rPr>
        <w:t>投标承诺书（一）</w:t>
      </w:r>
      <w:bookmarkEnd w:id="35"/>
    </w:p>
    <w:p>
      <w:pPr>
        <w:spacing w:line="440" w:lineRule="exact"/>
        <w:ind w:left="120" w:hanging="120"/>
        <w:jc w:val="center"/>
        <w:rPr>
          <w:rFonts w:ascii="宋体" w:hAnsi="宋体" w:cs="宋体"/>
          <w:color w:val="FF0000"/>
          <w:sz w:val="24"/>
          <w:u w:val="single"/>
        </w:rPr>
      </w:pPr>
    </w:p>
    <w:p>
      <w:pPr>
        <w:spacing w:line="500" w:lineRule="exact"/>
        <w:ind w:firstLine="480" w:firstLineChars="200"/>
        <w:rPr>
          <w:rFonts w:hint="default" w:ascii="宋体" w:hAnsi="宋体" w:cs="宋体"/>
          <w:sz w:val="24"/>
          <w:u w:val="single"/>
          <w:lang w:val="en-US" w:eastAsia="zh-CN"/>
        </w:rPr>
      </w:pPr>
      <w:r>
        <w:rPr>
          <w:rFonts w:hint="eastAsia" w:ascii="宋体" w:hAnsi="宋体" w:cs="宋体"/>
          <w:sz w:val="24"/>
          <w:u w:val="none"/>
        </w:rPr>
        <w:t>致（招标人）：</w:t>
      </w:r>
      <w:r>
        <w:rPr>
          <w:rFonts w:hint="eastAsia" w:ascii="宋体" w:hAnsi="宋体" w:cs="宋体"/>
          <w:sz w:val="24"/>
          <w:u w:val="single"/>
          <w:lang w:val="en-US" w:eastAsia="zh-CN"/>
        </w:rPr>
        <w:t xml:space="preserve">             </w:t>
      </w:r>
    </w:p>
    <w:p>
      <w:pPr>
        <w:spacing w:line="500" w:lineRule="exact"/>
        <w:ind w:firstLine="480" w:firstLineChars="200"/>
        <w:rPr>
          <w:rFonts w:ascii="宋体" w:hAnsi="宋体" w:cs="宋体"/>
          <w:sz w:val="24"/>
        </w:rPr>
      </w:pPr>
      <w:r>
        <w:rPr>
          <w:rFonts w:hint="eastAsia" w:ascii="宋体" w:hAnsi="宋体" w:cs="宋体"/>
          <w:sz w:val="24"/>
        </w:rPr>
        <w:t xml:space="preserve"> 1.在研究了上述项目的招标文件后，我们愿意遵照招标文件的要求，参加</w:t>
      </w:r>
      <w:r>
        <w:rPr>
          <w:rFonts w:hint="eastAsia" w:ascii="宋体" w:hAnsi="宋体" w:cs="宋体"/>
          <w:sz w:val="24"/>
          <w:u w:val="single"/>
        </w:rPr>
        <w:t xml:space="preserve">                                                </w:t>
      </w:r>
      <w:r>
        <w:rPr>
          <w:rFonts w:hint="eastAsia" w:ascii="宋体" w:hAnsi="宋体" w:cs="宋体"/>
          <w:sz w:val="24"/>
        </w:rPr>
        <w:t>的投标。</w:t>
      </w:r>
    </w:p>
    <w:p>
      <w:pPr>
        <w:spacing w:line="500" w:lineRule="exact"/>
        <w:ind w:firstLine="480" w:firstLineChars="200"/>
        <w:rPr>
          <w:rFonts w:ascii="宋体" w:hAnsi="宋体" w:cs="宋体"/>
          <w:sz w:val="24"/>
        </w:rPr>
      </w:pPr>
      <w:r>
        <w:rPr>
          <w:rFonts w:hint="eastAsia" w:ascii="宋体" w:hAnsi="宋体" w:cs="宋体"/>
          <w:sz w:val="24"/>
        </w:rPr>
        <w:t xml:space="preserve">2.如果贵单位接受我们的投标,我们将保证按照工作要求和统一安排，在 </w:t>
      </w:r>
      <w:r>
        <w:rPr>
          <w:rFonts w:hint="eastAsia" w:ascii="宋体" w:hAnsi="宋体" w:cs="宋体"/>
          <w:sz w:val="24"/>
          <w:u w:val="single"/>
          <w:lang w:val="en-US" w:eastAsia="zh-CN"/>
        </w:rPr>
        <w:t>2020</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lang w:val="en-US" w:eastAsia="zh-CN"/>
        </w:rPr>
        <w:t>6</w:t>
      </w:r>
      <w:r>
        <w:rPr>
          <w:rFonts w:hint="eastAsia" w:ascii="宋体" w:hAnsi="宋体" w:cs="宋体"/>
          <w:sz w:val="24"/>
          <w:lang w:val="en-US" w:eastAsia="zh-CN"/>
        </w:rPr>
        <w:t>月</w:t>
      </w:r>
      <w:r>
        <w:rPr>
          <w:rFonts w:hint="eastAsia" w:ascii="宋体" w:hAnsi="宋体" w:cs="宋体"/>
          <w:sz w:val="24"/>
          <w:u w:val="single"/>
          <w:lang w:val="en-US" w:eastAsia="zh-CN"/>
        </w:rPr>
        <w:t>10</w:t>
      </w:r>
      <w:r>
        <w:rPr>
          <w:rFonts w:hint="eastAsia" w:ascii="宋体" w:hAnsi="宋体" w:cs="宋体"/>
          <w:sz w:val="24"/>
          <w:lang w:val="en-US" w:eastAsia="zh-CN"/>
        </w:rPr>
        <w:t>日前</w:t>
      </w:r>
      <w:r>
        <w:rPr>
          <w:rFonts w:hint="eastAsia" w:ascii="宋体" w:hAnsi="宋体" w:cs="宋体"/>
          <w:sz w:val="24"/>
        </w:rPr>
        <w:t>按照规定完成贵单位委托工作。</w:t>
      </w:r>
    </w:p>
    <w:p>
      <w:pPr>
        <w:spacing w:line="500" w:lineRule="exact"/>
        <w:ind w:firstLine="360" w:firstLineChars="150"/>
        <w:rPr>
          <w:rFonts w:ascii="宋体" w:hAnsi="宋体" w:cs="宋体"/>
          <w:sz w:val="24"/>
        </w:rPr>
      </w:pPr>
      <w:r>
        <w:rPr>
          <w:rFonts w:hint="eastAsia" w:ascii="宋体" w:hAnsi="宋体" w:cs="宋体"/>
          <w:sz w:val="24"/>
        </w:rPr>
        <w:t xml:space="preserve"> 3.我们同意从规定的开标之日至评标结束期内严格遵守本投标书的各项承诺，本投标书始终将对我方具有约束力，并随时接受中标。</w:t>
      </w:r>
    </w:p>
    <w:p>
      <w:pPr>
        <w:spacing w:line="500" w:lineRule="exact"/>
        <w:ind w:firstLine="480" w:firstLineChars="200"/>
        <w:rPr>
          <w:rFonts w:ascii="宋体" w:hAnsi="宋体" w:cs="宋体"/>
          <w:sz w:val="24"/>
        </w:rPr>
      </w:pPr>
      <w:r>
        <w:rPr>
          <w:rFonts w:hint="eastAsia" w:ascii="宋体" w:hAnsi="宋体" w:cs="宋体"/>
          <w:sz w:val="24"/>
        </w:rPr>
        <w:t>4.在年度委托合同正式签署生效之前，本投标书连同贵单位的中标通知书将构成双方之间共同遵守的文件，对双方具有约束力。</w:t>
      </w:r>
    </w:p>
    <w:p>
      <w:pPr>
        <w:spacing w:line="500" w:lineRule="exact"/>
        <w:ind w:firstLine="360" w:firstLineChars="150"/>
        <w:rPr>
          <w:rFonts w:ascii="宋体" w:hAnsi="宋体" w:cs="宋体"/>
          <w:sz w:val="24"/>
        </w:rPr>
      </w:pPr>
      <w:r>
        <w:rPr>
          <w:rFonts w:hint="eastAsia" w:ascii="宋体" w:hAnsi="宋体" w:cs="宋体"/>
          <w:sz w:val="24"/>
        </w:rPr>
        <w:t xml:space="preserve"> 5.我们理解，贵单位不负担我们的任何投标费用。</w:t>
      </w:r>
    </w:p>
    <w:p>
      <w:pPr>
        <w:spacing w:line="360" w:lineRule="exact"/>
        <w:ind w:left="120" w:hanging="120"/>
        <w:rPr>
          <w:rFonts w:ascii="宋体" w:hAnsi="宋体" w:cs="宋体"/>
          <w:sz w:val="24"/>
        </w:rPr>
      </w:pPr>
    </w:p>
    <w:p>
      <w:pPr>
        <w:spacing w:line="360" w:lineRule="exact"/>
        <w:ind w:left="120" w:hanging="120"/>
        <w:rPr>
          <w:rFonts w:ascii="宋体" w:hAnsi="宋体" w:cs="宋体"/>
          <w:sz w:val="24"/>
        </w:rPr>
      </w:pPr>
      <w:bookmarkStart w:id="36" w:name="OLE_LINK2"/>
      <w:bookmarkStart w:id="37" w:name="OLE_LINK3"/>
    </w:p>
    <w:p>
      <w:pPr>
        <w:spacing w:line="360" w:lineRule="exact"/>
        <w:ind w:left="120" w:hanging="120"/>
        <w:rPr>
          <w:rFonts w:ascii="宋体" w:hAnsi="宋体" w:cs="宋体"/>
          <w:sz w:val="24"/>
          <w:u w:val="single"/>
        </w:rPr>
      </w:pPr>
      <w:r>
        <w:rPr>
          <w:rFonts w:hint="eastAsia" w:ascii="宋体" w:hAnsi="宋体" w:cs="宋体"/>
          <w:sz w:val="24"/>
        </w:rPr>
        <w:t xml:space="preserve">投标人地址： </w:t>
      </w:r>
      <w:r>
        <w:rPr>
          <w:rFonts w:hint="eastAsia" w:ascii="宋体" w:hAnsi="宋体" w:cs="宋体"/>
          <w:sz w:val="24"/>
          <w:u w:val="single"/>
        </w:rPr>
        <w:t xml:space="preserve">           </w:t>
      </w:r>
    </w:p>
    <w:p>
      <w:pPr>
        <w:spacing w:line="360" w:lineRule="exact"/>
        <w:ind w:left="120" w:hanging="120"/>
        <w:rPr>
          <w:rFonts w:ascii="宋体" w:hAnsi="宋体" w:cs="宋体"/>
          <w:sz w:val="24"/>
        </w:rPr>
      </w:pPr>
    </w:p>
    <w:p>
      <w:pPr>
        <w:spacing w:line="360" w:lineRule="exact"/>
        <w:ind w:left="120" w:hanging="120"/>
        <w:rPr>
          <w:rFonts w:ascii="宋体" w:hAnsi="宋体" w:cs="宋体"/>
          <w:sz w:val="24"/>
          <w:u w:val="single"/>
        </w:rPr>
      </w:pPr>
      <w:r>
        <w:rPr>
          <w:rFonts w:hint="eastAsia" w:ascii="宋体" w:hAnsi="宋体" w:cs="宋体"/>
          <w:sz w:val="24"/>
        </w:rPr>
        <w:t>邮 政 编 码：</w:t>
      </w:r>
      <w:r>
        <w:rPr>
          <w:rFonts w:hint="eastAsia" w:ascii="宋体" w:hAnsi="宋体" w:cs="宋体"/>
          <w:sz w:val="24"/>
          <w:u w:val="single"/>
        </w:rPr>
        <w:t xml:space="preserve">           </w:t>
      </w:r>
      <w:r>
        <w:rPr>
          <w:rFonts w:hint="eastAsia" w:ascii="宋体" w:hAnsi="宋体" w:cs="宋体"/>
          <w:sz w:val="24"/>
        </w:rPr>
        <w:t xml:space="preserve">      投标人：</w:t>
      </w:r>
      <w:r>
        <w:rPr>
          <w:rFonts w:hint="eastAsia" w:ascii="宋体" w:hAnsi="宋体" w:cs="宋体"/>
          <w:sz w:val="24"/>
          <w:u w:val="single"/>
        </w:rPr>
        <w:t>（全称） （盖章）</w:t>
      </w:r>
    </w:p>
    <w:p>
      <w:pPr>
        <w:spacing w:line="360" w:lineRule="exact"/>
        <w:ind w:left="120" w:hanging="120"/>
        <w:rPr>
          <w:rFonts w:ascii="宋体" w:hAnsi="宋体" w:cs="宋体"/>
          <w:sz w:val="24"/>
        </w:rPr>
      </w:pPr>
    </w:p>
    <w:p>
      <w:pPr>
        <w:spacing w:line="360" w:lineRule="exact"/>
        <w:ind w:left="120" w:hanging="120"/>
        <w:rPr>
          <w:rFonts w:ascii="宋体" w:hAnsi="宋体" w:cs="宋体"/>
          <w:sz w:val="24"/>
        </w:rPr>
      </w:pPr>
      <w:r>
        <w:rPr>
          <w:rFonts w:hint="eastAsia" w:ascii="宋体" w:hAnsi="宋体" w:cs="宋体"/>
          <w:sz w:val="24"/>
        </w:rPr>
        <w:t xml:space="preserve">电      话： </w:t>
      </w:r>
      <w:r>
        <w:rPr>
          <w:rFonts w:hint="eastAsia" w:ascii="宋体" w:hAnsi="宋体" w:cs="宋体"/>
          <w:sz w:val="24"/>
          <w:u w:val="single"/>
        </w:rPr>
        <w:t xml:space="preserve">           </w:t>
      </w:r>
      <w:r>
        <w:rPr>
          <w:rFonts w:hint="eastAsia" w:ascii="宋体" w:hAnsi="宋体" w:cs="宋体"/>
          <w:sz w:val="24"/>
        </w:rPr>
        <w:t xml:space="preserve">      法定代表人:</w:t>
      </w:r>
      <w:r>
        <w:rPr>
          <w:rFonts w:hint="eastAsia" w:ascii="宋体" w:hAnsi="宋体" w:cs="宋体"/>
          <w:sz w:val="24"/>
          <w:u w:val="single"/>
        </w:rPr>
        <w:t xml:space="preserve">            </w:t>
      </w:r>
    </w:p>
    <w:p>
      <w:pPr>
        <w:spacing w:line="360" w:lineRule="exact"/>
        <w:ind w:left="120" w:hanging="120"/>
        <w:rPr>
          <w:rFonts w:ascii="宋体" w:hAnsi="宋体" w:cs="宋体"/>
          <w:sz w:val="24"/>
        </w:rPr>
      </w:pPr>
    </w:p>
    <w:p>
      <w:pPr>
        <w:spacing w:line="360" w:lineRule="exact"/>
        <w:ind w:left="120" w:hanging="120"/>
        <w:rPr>
          <w:rFonts w:ascii="宋体" w:hAnsi="宋体" w:cs="宋体"/>
          <w:sz w:val="24"/>
        </w:rPr>
      </w:pPr>
      <w:r>
        <w:rPr>
          <w:rFonts w:hint="eastAsia" w:ascii="宋体" w:hAnsi="宋体" w:cs="宋体"/>
          <w:sz w:val="24"/>
        </w:rPr>
        <w:t xml:space="preserve">传      真： </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u w:val="single"/>
        </w:rPr>
        <w:t>（职务、姓名）  （签字或盖章）</w:t>
      </w:r>
    </w:p>
    <w:p>
      <w:pPr>
        <w:spacing w:line="360" w:lineRule="exact"/>
        <w:ind w:left="120" w:hanging="120"/>
        <w:jc w:val="right"/>
        <w:rPr>
          <w:rFonts w:ascii="宋体" w:hAnsi="宋体" w:cs="宋体"/>
          <w:sz w:val="24"/>
        </w:rPr>
      </w:pPr>
      <w:r>
        <w:rPr>
          <w:rFonts w:hint="eastAsia" w:ascii="宋体" w:hAnsi="宋体" w:cs="宋体"/>
          <w:sz w:val="24"/>
        </w:rPr>
        <w:t xml:space="preserve">           </w:t>
      </w:r>
    </w:p>
    <w:p>
      <w:pPr>
        <w:autoSpaceDE w:val="0"/>
        <w:autoSpaceDN w:val="0"/>
        <w:adjustRightInd w:val="0"/>
        <w:ind w:firstLine="4920" w:firstLineChars="2050"/>
        <w:rPr>
          <w:rFonts w:ascii="宋体" w:hAnsi="宋体" w:cs="宋体"/>
          <w:b/>
          <w:sz w:val="24"/>
          <w:lang w:val="zh-CN"/>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bookmarkEnd w:id="36"/>
      <w:bookmarkEnd w:id="37"/>
    </w:p>
    <w:p>
      <w:pPr>
        <w:autoSpaceDE w:val="0"/>
        <w:autoSpaceDN w:val="0"/>
        <w:adjustRightInd w:val="0"/>
        <w:ind w:left="120" w:hanging="120"/>
        <w:jc w:val="center"/>
        <w:rPr>
          <w:rFonts w:ascii="宋体" w:hAnsi="宋体" w:cs="宋体"/>
          <w:b/>
          <w:sz w:val="24"/>
          <w:lang w:val="zh-CN"/>
        </w:rPr>
      </w:pPr>
    </w:p>
    <w:p>
      <w:pPr>
        <w:autoSpaceDE w:val="0"/>
        <w:autoSpaceDN w:val="0"/>
        <w:adjustRightInd w:val="0"/>
        <w:ind w:left="120" w:hanging="120"/>
        <w:jc w:val="center"/>
        <w:rPr>
          <w:rFonts w:ascii="宋体" w:hAnsi="宋体" w:cs="宋体"/>
          <w:sz w:val="24"/>
          <w:lang w:val="zh-CN"/>
        </w:rPr>
      </w:pPr>
      <w:r>
        <w:rPr>
          <w:rFonts w:hint="eastAsia" w:ascii="宋体" w:hAnsi="宋体" w:cs="宋体"/>
          <w:sz w:val="24"/>
          <w:lang w:val="zh-CN"/>
        </w:rPr>
        <w:br w:type="page"/>
      </w:r>
      <w:r>
        <w:rPr>
          <w:rFonts w:hint="eastAsia" w:ascii="宋体" w:hAnsi="宋体" w:cs="宋体"/>
          <w:sz w:val="24"/>
          <w:lang w:val="zh-CN"/>
        </w:rPr>
        <w:t xml:space="preserve"> </w:t>
      </w:r>
    </w:p>
    <w:p>
      <w:pPr>
        <w:autoSpaceDE w:val="0"/>
        <w:autoSpaceDN w:val="0"/>
        <w:adjustRightInd w:val="0"/>
        <w:ind w:left="120" w:hanging="120"/>
        <w:jc w:val="center"/>
        <w:outlineLvl w:val="0"/>
        <w:rPr>
          <w:rFonts w:ascii="宋体" w:hAnsi="宋体" w:cs="宋体"/>
          <w:sz w:val="24"/>
          <w:lang w:val="zh-CN"/>
        </w:rPr>
      </w:pPr>
      <w:bookmarkStart w:id="38" w:name="_Toc14099"/>
      <w:r>
        <w:rPr>
          <w:rFonts w:hint="eastAsia" w:ascii="宋体" w:hAnsi="宋体" w:cs="宋体"/>
          <w:sz w:val="24"/>
          <w:lang w:val="zh-CN"/>
        </w:rPr>
        <w:t>投标承诺书（二）</w:t>
      </w:r>
      <w:bookmarkEnd w:id="38"/>
    </w:p>
    <w:p>
      <w:pPr>
        <w:autoSpaceDE w:val="0"/>
        <w:autoSpaceDN w:val="0"/>
        <w:adjustRightInd w:val="0"/>
        <w:ind w:left="120" w:hanging="120"/>
        <w:jc w:val="center"/>
        <w:rPr>
          <w:rFonts w:ascii="宋体" w:hAnsi="宋体" w:cs="宋体"/>
          <w:b/>
          <w:bCs/>
          <w:sz w:val="24"/>
          <w:lang w:val="zh-CN"/>
        </w:rPr>
      </w:pPr>
    </w:p>
    <w:p>
      <w:pPr>
        <w:autoSpaceDE w:val="0"/>
        <w:autoSpaceDN w:val="0"/>
        <w:adjustRightInd w:val="0"/>
        <w:ind w:left="120" w:hanging="120"/>
        <w:rPr>
          <w:rFonts w:ascii="宋体" w:hAnsi="宋体" w:cs="宋体"/>
          <w:sz w:val="24"/>
          <w:u w:val="single"/>
          <w:lang w:val="zh-CN"/>
        </w:rPr>
      </w:pPr>
      <w:r>
        <w:rPr>
          <w:rFonts w:hint="eastAsia" w:ascii="宋体" w:hAnsi="宋体" w:cs="宋体"/>
          <w:sz w:val="24"/>
          <w:lang w:val="zh-CN"/>
        </w:rPr>
        <w:t>招标人：</w:t>
      </w:r>
      <w:r>
        <w:rPr>
          <w:rFonts w:hint="eastAsia" w:ascii="宋体" w:hAnsi="宋体" w:cs="宋体"/>
          <w:sz w:val="24"/>
          <w:u w:val="single"/>
          <w:lang w:val="zh-CN"/>
        </w:rPr>
        <w:t xml:space="preserve">                 </w:t>
      </w:r>
    </w:p>
    <w:p>
      <w:pPr>
        <w:autoSpaceDE w:val="0"/>
        <w:autoSpaceDN w:val="0"/>
        <w:adjustRightInd w:val="0"/>
        <w:ind w:left="120" w:hanging="120"/>
        <w:rPr>
          <w:rFonts w:ascii="宋体" w:hAnsi="宋体" w:cs="宋体"/>
          <w:sz w:val="24"/>
          <w:u w:val="single"/>
          <w:lang w:val="zh-CN"/>
        </w:rPr>
      </w:pPr>
    </w:p>
    <w:p>
      <w:pPr>
        <w:autoSpaceDE w:val="0"/>
        <w:autoSpaceDN w:val="0"/>
        <w:adjustRightInd w:val="0"/>
        <w:ind w:left="120" w:hanging="120"/>
        <w:rPr>
          <w:rFonts w:ascii="宋体" w:hAnsi="宋体" w:cs="宋体"/>
          <w:sz w:val="24"/>
          <w:lang w:val="zh-CN"/>
        </w:rPr>
      </w:pPr>
      <w:r>
        <w:rPr>
          <w:rFonts w:hint="eastAsia" w:ascii="宋体" w:hAnsi="宋体" w:cs="宋体"/>
          <w:sz w:val="24"/>
          <w:lang w:val="zh-CN"/>
        </w:rPr>
        <w:t>若我公司中标后，项目负责人为：</w:t>
      </w:r>
    </w:p>
    <w:p>
      <w:pPr>
        <w:autoSpaceDE w:val="0"/>
        <w:autoSpaceDN w:val="0"/>
        <w:adjustRightInd w:val="0"/>
        <w:ind w:left="120" w:hanging="120"/>
        <w:rPr>
          <w:rFonts w:ascii="宋体" w:hAnsi="宋体" w:cs="宋体"/>
          <w:sz w:val="24"/>
          <w:lang w:val="zh-CN"/>
        </w:rPr>
      </w:pPr>
    </w:p>
    <w:tbl>
      <w:tblPr>
        <w:tblStyle w:val="70"/>
        <w:tblW w:w="9855" w:type="dxa"/>
        <w:tblInd w:w="0" w:type="dxa"/>
        <w:tblLayout w:type="fixed"/>
        <w:tblCellMar>
          <w:top w:w="0" w:type="dxa"/>
          <w:left w:w="108" w:type="dxa"/>
          <w:bottom w:w="0" w:type="dxa"/>
          <w:right w:w="108" w:type="dxa"/>
        </w:tblCellMar>
      </w:tblPr>
      <w:tblGrid>
        <w:gridCol w:w="2463"/>
        <w:gridCol w:w="2464"/>
        <w:gridCol w:w="2464"/>
        <w:gridCol w:w="2464"/>
      </w:tblGrid>
      <w:tr>
        <w:tblPrEx>
          <w:tblCellMar>
            <w:top w:w="0" w:type="dxa"/>
            <w:left w:w="108" w:type="dxa"/>
            <w:bottom w:w="0" w:type="dxa"/>
            <w:right w:w="108" w:type="dxa"/>
          </w:tblCellMar>
        </w:tblPrEx>
        <w:trPr>
          <w:trHeight w:val="296" w:hRule="atLeast"/>
        </w:trPr>
        <w:tc>
          <w:tcPr>
            <w:tcW w:w="246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lang w:val="zh-CN"/>
              </w:rPr>
            </w:pPr>
            <w:r>
              <w:rPr>
                <w:rFonts w:hint="eastAsia" w:ascii="宋体" w:hAnsi="宋体" w:cs="宋体"/>
                <w:sz w:val="24"/>
                <w:lang w:val="zh-CN"/>
              </w:rPr>
              <w:t>姓名</w:t>
            </w: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lang w:val="zh-CN"/>
              </w:rPr>
            </w:pP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lang w:val="zh-CN"/>
              </w:rPr>
            </w:pPr>
            <w:r>
              <w:rPr>
                <w:rFonts w:hint="eastAsia" w:ascii="宋体" w:hAnsi="宋体" w:cs="宋体"/>
                <w:sz w:val="24"/>
                <w:lang w:val="zh-CN"/>
              </w:rPr>
              <w:t>职称</w:t>
            </w: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lang w:val="zh-CN"/>
              </w:rPr>
            </w:pPr>
          </w:p>
        </w:tc>
      </w:tr>
      <w:tr>
        <w:tblPrEx>
          <w:tblCellMar>
            <w:top w:w="0" w:type="dxa"/>
            <w:left w:w="108" w:type="dxa"/>
            <w:bottom w:w="0" w:type="dxa"/>
            <w:right w:w="108" w:type="dxa"/>
          </w:tblCellMar>
        </w:tblPrEx>
        <w:trPr>
          <w:trHeight w:val="327" w:hRule="atLeast"/>
        </w:trPr>
        <w:tc>
          <w:tcPr>
            <w:tcW w:w="246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hint="default" w:ascii="宋体" w:hAnsi="宋体" w:eastAsia="宋体" w:cs="宋体"/>
                <w:sz w:val="24"/>
                <w:lang w:val="en-US" w:eastAsia="zh-CN"/>
              </w:rPr>
            </w:pPr>
            <w:r>
              <w:rPr>
                <w:rFonts w:hint="eastAsia" w:ascii="宋体" w:hAnsi="宋体" w:cs="宋体"/>
                <w:sz w:val="24"/>
                <w:lang w:val="en-US" w:eastAsia="zh-CN"/>
              </w:rPr>
              <w:t>联系电话</w:t>
            </w: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rPr>
              <w:t>专业</w:t>
            </w: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p>
        </w:tc>
      </w:tr>
      <w:tr>
        <w:tblPrEx>
          <w:tblCellMar>
            <w:top w:w="0" w:type="dxa"/>
            <w:left w:w="108" w:type="dxa"/>
            <w:bottom w:w="0" w:type="dxa"/>
            <w:right w:w="108" w:type="dxa"/>
          </w:tblCellMar>
        </w:tblPrEx>
        <w:trPr>
          <w:trHeight w:val="360" w:hRule="atLeast"/>
        </w:trPr>
        <w:tc>
          <w:tcPr>
            <w:tcW w:w="246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lang w:val="zh-CN"/>
              </w:rPr>
              <w:t>身份证号码</w:t>
            </w:r>
          </w:p>
        </w:tc>
        <w:tc>
          <w:tcPr>
            <w:tcW w:w="7392"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p>
        </w:tc>
      </w:tr>
    </w:tbl>
    <w:p>
      <w:pPr>
        <w:autoSpaceDE w:val="0"/>
        <w:autoSpaceDN w:val="0"/>
        <w:adjustRightInd w:val="0"/>
        <w:ind w:left="120" w:hanging="120"/>
        <w:rPr>
          <w:rFonts w:ascii="宋体" w:hAnsi="宋体" w:cs="宋体"/>
          <w:sz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sz w:val="24"/>
        </w:rPr>
      </w:pPr>
      <w:r>
        <w:rPr>
          <w:rFonts w:hint="eastAsia" w:ascii="宋体" w:hAnsi="宋体" w:cs="宋体"/>
          <w:sz w:val="24"/>
        </w:rPr>
        <w:t>中标后，我公司派驻</w:t>
      </w:r>
      <w:r>
        <w:rPr>
          <w:rFonts w:hint="eastAsia" w:ascii="宋体" w:hAnsi="宋体" w:eastAsia="新宋体" w:cs="Times New Roman"/>
          <w:kern w:val="2"/>
          <w:sz w:val="24"/>
          <w:szCs w:val="24"/>
          <w:highlight w:val="none"/>
          <w:lang w:val="en-US" w:eastAsia="zh-CN" w:bidi="ar-SA"/>
        </w:rPr>
        <w:t>鉴定</w:t>
      </w:r>
      <w:r>
        <w:rPr>
          <w:rFonts w:hint="eastAsia" w:ascii="宋体" w:hAnsi="宋体" w:cs="宋体"/>
          <w:sz w:val="24"/>
        </w:rPr>
        <w:t>工作服务人员不少于</w:t>
      </w:r>
      <w:r>
        <w:rPr>
          <w:rFonts w:hint="eastAsia" w:ascii="宋体" w:hAnsi="宋体" w:cs="宋体"/>
          <w:sz w:val="24"/>
          <w:lang w:val="en-US" w:eastAsia="zh-CN"/>
        </w:rPr>
        <w:t>15</w:t>
      </w:r>
      <w:r>
        <w:rPr>
          <w:rFonts w:hint="eastAsia" w:ascii="宋体" w:hAnsi="宋体" w:cs="宋体"/>
          <w:sz w:val="24"/>
        </w:rPr>
        <w:t>人，并具有相关</w:t>
      </w:r>
      <w:r>
        <w:rPr>
          <w:rFonts w:hint="eastAsia" w:ascii="宋体" w:hAnsi="宋体" w:cs="宋体"/>
          <w:sz w:val="24"/>
          <w:lang w:val="en-US" w:eastAsia="zh-CN"/>
        </w:rPr>
        <w:t>工作经验</w:t>
      </w:r>
      <w:r>
        <w:rPr>
          <w:rFonts w:hint="eastAsia" w:ascii="宋体" w:hAnsi="宋体" w:cs="宋体"/>
          <w:sz w:val="24"/>
        </w:rPr>
        <w:t>，遇到集中上报阶段人员根据工作量相应增加，若由于特殊原因须更换项目负责人时，</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投标文件中填报的项目负责人、其它人员不得随意更换，如有特殊情况需要更换时，项目负责人罚款4万元，其它人员罚款2万元，且拟派人员必须通过甲方同意后方允许更换。</w:t>
      </w:r>
    </w:p>
    <w:p>
      <w:pPr>
        <w:autoSpaceDE w:val="0"/>
        <w:autoSpaceDN w:val="0"/>
        <w:adjustRightInd w:val="0"/>
        <w:ind w:left="120" w:hanging="120"/>
        <w:rPr>
          <w:rFonts w:ascii="宋体" w:hAnsi="宋体" w:cs="宋体"/>
          <w:sz w:val="24"/>
          <w:lang w:val="zh-CN"/>
        </w:rPr>
      </w:pPr>
    </w:p>
    <w:p>
      <w:pPr>
        <w:autoSpaceDE w:val="0"/>
        <w:autoSpaceDN w:val="0"/>
        <w:adjustRightInd w:val="0"/>
        <w:ind w:left="120" w:hanging="120"/>
        <w:rPr>
          <w:rFonts w:ascii="宋体" w:hAnsi="宋体" w:cs="宋体"/>
          <w:sz w:val="24"/>
          <w:lang w:val="zh-CN"/>
        </w:rPr>
      </w:pPr>
      <w:r>
        <w:rPr>
          <w:rFonts w:hint="eastAsia" w:ascii="宋体" w:hAnsi="宋体" w:cs="宋体"/>
          <w:sz w:val="24"/>
          <w:lang w:val="zh-CN"/>
        </w:rPr>
        <w:t>投标人：（盖章）</w:t>
      </w:r>
    </w:p>
    <w:p>
      <w:pPr>
        <w:autoSpaceDE w:val="0"/>
        <w:autoSpaceDN w:val="0"/>
        <w:adjustRightInd w:val="0"/>
        <w:spacing w:line="500" w:lineRule="exact"/>
        <w:ind w:left="120" w:hanging="120"/>
        <w:rPr>
          <w:rFonts w:ascii="宋体" w:hAnsi="宋体" w:cs="宋体"/>
          <w:sz w:val="24"/>
          <w:lang w:val="zh-CN"/>
        </w:rPr>
      </w:pPr>
    </w:p>
    <w:p>
      <w:pPr>
        <w:autoSpaceDE w:val="0"/>
        <w:autoSpaceDN w:val="0"/>
        <w:adjustRightInd w:val="0"/>
        <w:spacing w:line="500" w:lineRule="exact"/>
        <w:ind w:left="120" w:hanging="120"/>
        <w:rPr>
          <w:rFonts w:ascii="宋体" w:hAnsi="宋体" w:cs="宋体"/>
          <w:sz w:val="24"/>
          <w:lang w:val="zh-CN"/>
        </w:rPr>
      </w:pPr>
      <w:r>
        <w:rPr>
          <w:rFonts w:hint="eastAsia" w:ascii="宋体" w:hAnsi="宋体" w:cs="宋体"/>
          <w:sz w:val="24"/>
          <w:lang w:val="zh-CN"/>
        </w:rPr>
        <w:t>法定代表人或授权代理人：（签字或盖章）</w:t>
      </w:r>
    </w:p>
    <w:p>
      <w:pPr>
        <w:autoSpaceDE w:val="0"/>
        <w:autoSpaceDN w:val="0"/>
        <w:adjustRightInd w:val="0"/>
        <w:spacing w:line="500" w:lineRule="exact"/>
        <w:ind w:left="120" w:hanging="120"/>
        <w:rPr>
          <w:rFonts w:ascii="宋体" w:hAnsi="宋体" w:cs="宋体"/>
          <w:sz w:val="24"/>
          <w:lang w:val="zh-CN"/>
        </w:rPr>
      </w:pPr>
      <w:r>
        <w:rPr>
          <w:rFonts w:hint="eastAsia" w:ascii="宋体" w:hAnsi="宋体" w:cs="宋体"/>
          <w:sz w:val="24"/>
          <w:lang w:val="zh-CN"/>
        </w:rPr>
        <w:t xml:space="preserve">                                          日期：</w:t>
      </w: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p>
    <w:p>
      <w:pPr>
        <w:autoSpaceDE w:val="0"/>
        <w:autoSpaceDN w:val="0"/>
        <w:adjustRightInd w:val="0"/>
        <w:ind w:left="120" w:hanging="120"/>
        <w:rPr>
          <w:rFonts w:ascii="宋体" w:hAnsi="宋体" w:cs="宋体"/>
          <w:sz w:val="24"/>
          <w:lang w:val="zh-CN"/>
        </w:rPr>
      </w:pPr>
    </w:p>
    <w:p>
      <w:pPr>
        <w:autoSpaceDE w:val="0"/>
        <w:autoSpaceDN w:val="0"/>
        <w:adjustRightInd w:val="0"/>
        <w:ind w:left="120" w:hanging="120"/>
        <w:rPr>
          <w:rFonts w:ascii="宋体" w:hAnsi="宋体" w:cs="宋体"/>
          <w:sz w:val="24"/>
          <w:lang w:val="zh-CN"/>
        </w:rPr>
      </w:pPr>
    </w:p>
    <w:p>
      <w:pPr>
        <w:autoSpaceDE w:val="0"/>
        <w:autoSpaceDN w:val="0"/>
        <w:adjustRightInd w:val="0"/>
        <w:ind w:left="120" w:hanging="120"/>
        <w:rPr>
          <w:rFonts w:ascii="宋体" w:hAnsi="宋体" w:cs="宋体"/>
          <w:sz w:val="24"/>
          <w:lang w:val="zh-CN"/>
        </w:rPr>
      </w:pPr>
    </w:p>
    <w:p>
      <w:pPr>
        <w:autoSpaceDE w:val="0"/>
        <w:autoSpaceDN w:val="0"/>
        <w:adjustRightInd w:val="0"/>
        <w:ind w:left="120" w:hanging="120"/>
        <w:rPr>
          <w:rFonts w:ascii="宋体" w:hAnsi="宋体" w:cs="宋体"/>
          <w:sz w:val="24"/>
          <w:lang w:val="zh-CN"/>
        </w:rPr>
      </w:pPr>
    </w:p>
    <w:p>
      <w:pPr>
        <w:pStyle w:val="2"/>
        <w:rPr>
          <w:rFonts w:ascii="宋体" w:hAnsi="宋体" w:cs="宋体"/>
          <w:sz w:val="24"/>
          <w:lang w:val="zh-CN"/>
        </w:rPr>
      </w:pPr>
    </w:p>
    <w:p>
      <w:pPr>
        <w:pStyle w:val="2"/>
        <w:rPr>
          <w:rFonts w:ascii="宋体" w:hAnsi="宋体" w:cs="宋体"/>
          <w:sz w:val="24"/>
          <w:lang w:val="zh-CN"/>
        </w:rPr>
      </w:pPr>
    </w:p>
    <w:p>
      <w:pPr>
        <w:pStyle w:val="2"/>
        <w:rPr>
          <w:rFonts w:ascii="宋体" w:hAnsi="宋体" w:cs="宋体"/>
          <w:sz w:val="24"/>
          <w:lang w:val="zh-CN"/>
        </w:rPr>
      </w:pPr>
    </w:p>
    <w:p>
      <w:pPr>
        <w:pStyle w:val="2"/>
        <w:rPr>
          <w:rFonts w:ascii="宋体" w:hAnsi="宋体" w:cs="宋体"/>
          <w:sz w:val="24"/>
          <w:lang w:val="zh-CN"/>
        </w:rPr>
      </w:pPr>
    </w:p>
    <w:p>
      <w:pPr>
        <w:pStyle w:val="2"/>
        <w:rPr>
          <w:lang w:val="zh-CN"/>
        </w:rPr>
      </w:pPr>
    </w:p>
    <w:p>
      <w:pPr>
        <w:spacing w:line="460" w:lineRule="exact"/>
        <w:ind w:left="0" w:leftChars="0" w:firstLine="0" w:firstLineChars="0"/>
        <w:jc w:val="both"/>
        <w:rPr>
          <w:rFonts w:hint="eastAsia" w:ascii="宋体" w:hAnsi="宋体" w:cs="宋体"/>
          <w:b/>
          <w:sz w:val="24"/>
        </w:rPr>
      </w:pPr>
    </w:p>
    <w:p>
      <w:pPr>
        <w:spacing w:line="460" w:lineRule="exact"/>
        <w:ind w:left="120" w:hanging="120"/>
        <w:jc w:val="center"/>
        <w:rPr>
          <w:rFonts w:hint="eastAsia" w:ascii="宋体" w:hAnsi="宋体" w:cs="宋体"/>
          <w:b/>
          <w:sz w:val="24"/>
        </w:rPr>
      </w:pPr>
    </w:p>
    <w:p>
      <w:pPr>
        <w:spacing w:line="460" w:lineRule="exact"/>
        <w:ind w:left="120" w:hanging="120"/>
        <w:jc w:val="center"/>
        <w:rPr>
          <w:rFonts w:ascii="宋体" w:hAnsi="宋体" w:cs="宋体"/>
          <w:b/>
          <w:sz w:val="24"/>
        </w:rPr>
      </w:pPr>
      <w:r>
        <w:rPr>
          <w:rFonts w:hint="eastAsia" w:ascii="宋体" w:hAnsi="宋体" w:cs="宋体"/>
          <w:b/>
          <w:sz w:val="24"/>
        </w:rPr>
        <w:t>2、 报价一览表</w:t>
      </w:r>
    </w:p>
    <w:p>
      <w:pPr>
        <w:spacing w:line="460" w:lineRule="exact"/>
        <w:ind w:left="120" w:hanging="120"/>
        <w:rPr>
          <w:rFonts w:ascii="宋体" w:hAnsi="宋体" w:cs="宋体"/>
          <w:b/>
          <w:sz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 xml:space="preserve">项目名称：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 xml:space="preserve">项目编号：                                      </w:t>
      </w:r>
    </w:p>
    <w:tbl>
      <w:tblPr>
        <w:tblStyle w:val="70"/>
        <w:tblW w:w="93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95"/>
        <w:gridCol w:w="1185"/>
        <w:gridCol w:w="960"/>
        <w:gridCol w:w="945"/>
        <w:gridCol w:w="1590"/>
        <w:gridCol w:w="1785"/>
        <w:gridCol w:w="15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eastAsia" w:ascii="宋体" w:hAnsi="宋体" w:cs="宋体"/>
                <w:sz w:val="24"/>
                <w:lang w:val="en-US" w:eastAsia="zh-CN"/>
              </w:rPr>
            </w:pPr>
            <w:r>
              <w:rPr>
                <w:rFonts w:hint="eastAsia" w:ascii="宋体" w:hAnsi="宋体" w:cs="宋体"/>
                <w:sz w:val="24"/>
                <w:lang w:val="en-US" w:eastAsia="zh-CN"/>
              </w:rPr>
              <w:t>项目名称</w:t>
            </w:r>
          </w:p>
        </w:tc>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eastAsia" w:ascii="宋体" w:hAnsi="宋体" w:cs="宋体"/>
                <w:sz w:val="24"/>
                <w:lang w:val="en-US" w:eastAsia="zh-CN"/>
              </w:rPr>
            </w:pPr>
            <w:r>
              <w:rPr>
                <w:rFonts w:hint="eastAsia" w:ascii="宋体" w:hAnsi="宋体" w:cs="宋体"/>
                <w:sz w:val="24"/>
                <w:lang w:val="en-US" w:eastAsia="zh-CN"/>
              </w:rPr>
              <w:t>规格描述</w:t>
            </w:r>
          </w:p>
        </w:tc>
        <w:tc>
          <w:tcPr>
            <w:tcW w:w="9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0" w:firstLineChars="0"/>
              <w:jc w:val="both"/>
              <w:textAlignment w:val="auto"/>
              <w:rPr>
                <w:rFonts w:hint="eastAsia" w:ascii="宋体" w:hAnsi="宋体" w:cs="宋体"/>
                <w:sz w:val="24"/>
                <w:lang w:val="en-US" w:eastAsia="zh-CN"/>
              </w:rPr>
            </w:pPr>
            <w:r>
              <w:rPr>
                <w:rFonts w:hint="eastAsia" w:ascii="宋体" w:hAnsi="宋体" w:cs="宋体"/>
                <w:sz w:val="24"/>
                <w:lang w:val="en-US" w:eastAsia="zh-CN"/>
              </w:rPr>
              <w:t>单位</w:t>
            </w:r>
          </w:p>
        </w:tc>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eastAsia" w:ascii="宋体" w:hAnsi="宋体" w:cs="宋体"/>
                <w:sz w:val="24"/>
                <w:lang w:val="en-US" w:eastAsia="zh-CN"/>
              </w:rPr>
            </w:pPr>
            <w:r>
              <w:rPr>
                <w:rFonts w:hint="eastAsia" w:ascii="宋体" w:hAnsi="宋体" w:cs="宋体"/>
                <w:sz w:val="24"/>
                <w:lang w:val="en-US" w:eastAsia="zh-CN"/>
              </w:rPr>
              <w:t>数量</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eastAsia" w:ascii="宋体" w:hAnsi="宋体" w:cs="宋体"/>
                <w:sz w:val="24"/>
                <w:lang w:val="en-US" w:eastAsia="zh-CN"/>
              </w:rPr>
            </w:pPr>
            <w:r>
              <w:rPr>
                <w:rFonts w:hint="eastAsia" w:ascii="宋体" w:hAnsi="宋体" w:cs="宋体"/>
                <w:sz w:val="24"/>
                <w:lang w:val="en-US" w:eastAsia="zh-CN"/>
              </w:rPr>
              <w:t>单价（元）</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239" w:leftChars="114" w:right="0" w:firstLine="120" w:firstLineChars="50"/>
              <w:jc w:val="both"/>
              <w:textAlignment w:val="auto"/>
              <w:rPr>
                <w:rFonts w:hint="eastAsia" w:ascii="宋体" w:hAnsi="宋体" w:cs="宋体"/>
                <w:sz w:val="24"/>
                <w:lang w:val="en-US" w:eastAsia="zh-CN"/>
              </w:rPr>
            </w:pPr>
            <w:r>
              <w:rPr>
                <w:rFonts w:hint="eastAsia" w:ascii="宋体" w:hAnsi="宋体" w:cs="宋体"/>
                <w:sz w:val="24"/>
                <w:lang w:val="en-US" w:eastAsia="zh-CN"/>
              </w:rPr>
              <w:t>总价（元）</w:t>
            </w:r>
          </w:p>
        </w:tc>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cs="宋体"/>
                <w:sz w:val="24"/>
                <w:lang w:val="en-US" w:eastAsia="zh-CN"/>
              </w:rPr>
            </w:pPr>
            <w:r>
              <w:rPr>
                <w:rFonts w:hint="eastAsia" w:ascii="宋体" w:hAnsi="宋体" w:cs="宋体"/>
                <w:sz w:val="24"/>
                <w:lang w:val="en-US"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9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9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448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合计（人民币）</w:t>
            </w:r>
          </w:p>
        </w:tc>
        <w:tc>
          <w:tcPr>
            <w:tcW w:w="489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小写：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大写：</w:t>
            </w:r>
          </w:p>
        </w:tc>
      </w:tr>
    </w:tbl>
    <w:p>
      <w:pPr>
        <w:spacing w:line="640" w:lineRule="exact"/>
        <w:ind w:left="0" w:leftChars="0" w:firstLine="480" w:firstLineChars="200"/>
        <w:rPr>
          <w:rFonts w:ascii="宋体" w:hAnsi="宋体" w:cs="宋体"/>
          <w:sz w:val="24"/>
        </w:rPr>
      </w:pPr>
      <w:r>
        <w:rPr>
          <w:rFonts w:hint="eastAsia" w:ascii="宋体" w:hAnsi="宋体" w:cs="宋体"/>
          <w:sz w:val="24"/>
        </w:rPr>
        <w:t>投标</w:t>
      </w:r>
      <w:r>
        <w:rPr>
          <w:rFonts w:hint="eastAsia" w:ascii="宋体" w:hAnsi="宋体" w:cs="宋体"/>
          <w:color w:val="000000"/>
          <w:sz w:val="24"/>
        </w:rPr>
        <w:t>单位：</w:t>
      </w:r>
      <w:r>
        <w:rPr>
          <w:rFonts w:hint="eastAsia" w:ascii="宋体" w:hAnsi="宋体" w:cs="宋体"/>
          <w:sz w:val="24"/>
        </w:rPr>
        <w:t>(</w:t>
      </w:r>
      <w:r>
        <w:rPr>
          <w:rFonts w:hint="eastAsia" w:ascii="宋体" w:hAnsi="宋体" w:cs="宋体"/>
          <w:color w:val="000000"/>
          <w:sz w:val="24"/>
        </w:rPr>
        <w:t>公章</w:t>
      </w:r>
      <w:r>
        <w:rPr>
          <w:rFonts w:hint="eastAsia" w:ascii="宋体" w:hAnsi="宋体" w:cs="宋体"/>
          <w:sz w:val="24"/>
        </w:rPr>
        <w:t>)：</w:t>
      </w:r>
      <w:r>
        <w:rPr>
          <w:rFonts w:hint="eastAsia" w:ascii="宋体" w:hAnsi="宋体" w:cs="宋体"/>
          <w:sz w:val="24"/>
          <w:u w:val="single"/>
        </w:rPr>
        <w:t xml:space="preserve">                                </w:t>
      </w:r>
    </w:p>
    <w:p>
      <w:pPr>
        <w:spacing w:line="640" w:lineRule="exact"/>
        <w:ind w:firstLine="240" w:firstLineChars="100"/>
        <w:rPr>
          <w:rFonts w:ascii="宋体" w:hAnsi="宋体" w:cs="宋体"/>
          <w:sz w:val="24"/>
          <w:u w:val="single"/>
        </w:rPr>
      </w:pPr>
      <w:r>
        <w:rPr>
          <w:rFonts w:hint="eastAsia" w:ascii="宋体" w:hAnsi="宋体" w:cs="宋体"/>
          <w:sz w:val="24"/>
        </w:rPr>
        <w:t>　</w:t>
      </w:r>
      <w:r>
        <w:rPr>
          <w:rFonts w:hint="eastAsia" w:ascii="宋体" w:hAnsi="宋体" w:cs="宋体"/>
          <w:color w:val="000000"/>
          <w:sz w:val="24"/>
        </w:rPr>
        <w:t>法定代表人或授权代表人（签字或盖章）：</w:t>
      </w:r>
      <w:r>
        <w:rPr>
          <w:rFonts w:hint="eastAsia" w:ascii="宋体" w:hAnsi="宋体" w:cs="宋体"/>
          <w:sz w:val="24"/>
          <w:u w:val="single"/>
        </w:rPr>
        <w:t xml:space="preserve">                </w:t>
      </w:r>
    </w:p>
    <w:p>
      <w:pPr>
        <w:spacing w:line="640" w:lineRule="exact"/>
        <w:ind w:left="120" w:hanging="120"/>
        <w:rPr>
          <w:rFonts w:ascii="宋体" w:hAnsi="宋体" w:cs="宋体"/>
          <w:sz w:val="24"/>
        </w:rPr>
      </w:pPr>
      <w:r>
        <w:rPr>
          <w:rFonts w:hint="eastAsia" w:ascii="宋体" w:hAnsi="宋体" w:cs="宋体"/>
          <w:sz w:val="24"/>
        </w:rPr>
        <w:t>　　日 期:</w:t>
      </w:r>
      <w:r>
        <w:rPr>
          <w:rFonts w:hint="eastAsia" w:ascii="宋体" w:hAnsi="宋体" w:cs="宋体"/>
          <w:sz w:val="24"/>
          <w:u w:val="single"/>
        </w:rPr>
        <w:t xml:space="preserve">                      </w:t>
      </w:r>
    </w:p>
    <w:p>
      <w:pPr>
        <w:spacing w:line="460" w:lineRule="exact"/>
        <w:ind w:left="120" w:hanging="120"/>
        <w:rPr>
          <w:rFonts w:hint="eastAsia" w:ascii="宋体" w:hAnsi="宋体" w:cs="宋体"/>
          <w:sz w:val="24"/>
          <w:lang w:val="en-US" w:eastAsia="zh-CN"/>
        </w:rPr>
      </w:pPr>
      <w:r>
        <w:rPr>
          <w:rFonts w:hint="eastAsia" w:ascii="宋体" w:hAnsi="宋体" w:cs="宋体"/>
          <w:sz w:val="24"/>
        </w:rPr>
        <w:t>备 注</w:t>
      </w:r>
      <w:r>
        <w:rPr>
          <w:rFonts w:hint="eastAsia" w:ascii="宋体" w:hAnsi="宋体" w:cs="宋体"/>
          <w:sz w:val="24"/>
          <w:lang w:eastAsia="zh-CN"/>
        </w:rPr>
        <w:t>：</w:t>
      </w:r>
      <w:r>
        <w:rPr>
          <w:rFonts w:hint="eastAsia" w:ascii="宋体" w:hAnsi="宋体" w:cs="宋体"/>
          <w:sz w:val="24"/>
          <w:lang w:val="en-US" w:eastAsia="zh-CN"/>
        </w:rPr>
        <w:t>（1）报价货币为人民币；</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2）1、投标报价应包括完成采购范围内检测项目的全部费用，合同总价由一般检测项目和专项检测项目组成，包括该工程试验费、检测费、材料费、加载车辆租赁费及过磅费、包括民工在内的所有人员工资、管理费、利润、税金、协调费等发生的一切费用。采购人除此以外不支付其它费用，除非合同中另有规定。</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 xml:space="preserve">  2、采购人提供的检测项目清单仅供参考，投标人应根据采购人提供的房屋现状、招标文件及法律法规规定需检测的项目核对检测项目清单，如投标人认为检测项目清单中有漏项，投标人可将其费用纳入单报价中，中标后招标人不再对价格作任何调整。招标文件另有约定的除外。</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 xml:space="preserve">  3、投标人根据本项目进展情况，结合相关标准和规定自行安排检测工作（包括人员、设备进出场等），满足项目进度需要；所有进出场费均由投标单位自行测算，费用纳入投标报价中，结算时招标人将不再另行支付。招标人除此以外不支付其它费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b/>
          <w:bCs/>
          <w:color w:val="000000"/>
          <w:sz w:val="44"/>
          <w:szCs w:val="44"/>
        </w:rPr>
      </w:pPr>
      <w:r>
        <w:rPr>
          <w:rFonts w:hint="eastAsia" w:ascii="宋体" w:hAnsi="宋体" w:cs="宋体"/>
          <w:sz w:val="24"/>
          <w:lang w:val="en-US" w:eastAsia="zh-CN"/>
        </w:rPr>
        <w:t xml:space="preserve">  4、投标人应充分考虑房屋现状，根据现场实际情况等因素，不同检测条件和检测复杂程度的变化，并在报价中一并考虑，结算时招标人将不再另行支付。</w:t>
      </w:r>
    </w:p>
    <w:p>
      <w:pPr>
        <w:pStyle w:val="2"/>
        <w:rPr>
          <w:rFonts w:hint="eastAsia"/>
        </w:rPr>
      </w:pPr>
    </w:p>
    <w:p>
      <w:pPr>
        <w:ind w:left="221" w:hanging="221"/>
        <w:jc w:val="center"/>
        <w:rPr>
          <w:rFonts w:hint="eastAsia" w:ascii="宋体" w:hAnsi="宋体" w:eastAsia="宋体" w:cs="Times New Roman"/>
          <w:b/>
          <w:color w:val="auto"/>
          <w:kern w:val="0"/>
          <w:sz w:val="28"/>
          <w:szCs w:val="28"/>
          <w:lang w:val="en-US" w:eastAsia="zh-CN" w:bidi="ar-SA"/>
        </w:rPr>
      </w:pPr>
      <w:r>
        <w:rPr>
          <w:rFonts w:hint="eastAsia" w:ascii="宋体" w:hAnsi="宋体" w:eastAsia="宋体" w:cs="Times New Roman"/>
          <w:b/>
          <w:color w:val="auto"/>
          <w:kern w:val="0"/>
          <w:sz w:val="28"/>
          <w:szCs w:val="28"/>
          <w:lang w:val="en-US" w:eastAsia="zh-CN" w:bidi="ar-SA"/>
        </w:rPr>
        <w:t>第二部分 商务部分</w:t>
      </w:r>
    </w:p>
    <w:p>
      <w:pPr>
        <w:spacing w:line="460" w:lineRule="exact"/>
        <w:ind w:left="120" w:hanging="120"/>
        <w:rPr>
          <w:rFonts w:ascii="宋体" w:hAnsi="宋体"/>
          <w:b/>
          <w:sz w:val="24"/>
        </w:rPr>
      </w:pPr>
    </w:p>
    <w:p>
      <w:pPr>
        <w:pStyle w:val="4"/>
        <w:numPr>
          <w:ilvl w:val="0"/>
          <w:numId w:val="12"/>
        </w:numPr>
        <w:spacing w:line="460" w:lineRule="exact"/>
        <w:ind w:left="120" w:hanging="120"/>
        <w:outlineLvl w:val="0"/>
        <w:rPr>
          <w:rFonts w:ascii="宋体" w:hAnsi="宋体" w:cs="宋体"/>
          <w:sz w:val="24"/>
          <w:szCs w:val="24"/>
        </w:rPr>
      </w:pPr>
      <w:bookmarkStart w:id="39" w:name="_Toc26189"/>
      <w:r>
        <w:rPr>
          <w:rFonts w:hint="eastAsia" w:ascii="宋体" w:hAnsi="宋体" w:cs="宋体"/>
          <w:sz w:val="24"/>
          <w:szCs w:val="24"/>
        </w:rPr>
        <w:t>投标方的资格声明</w:t>
      </w:r>
      <w:bookmarkEnd w:id="39"/>
    </w:p>
    <w:p>
      <w:pPr>
        <w:ind w:left="120" w:hanging="120"/>
        <w:rPr>
          <w:rFonts w:ascii="宋体" w:hAnsi="宋体" w:cs="宋体"/>
          <w:sz w:val="24"/>
        </w:rPr>
      </w:pPr>
    </w:p>
    <w:p>
      <w:pPr>
        <w:spacing w:line="460" w:lineRule="exact"/>
        <w:ind w:left="120" w:hanging="120"/>
        <w:rPr>
          <w:rFonts w:ascii="宋体" w:hAnsi="宋体" w:cs="宋体"/>
          <w:sz w:val="24"/>
        </w:rPr>
      </w:pPr>
      <w:r>
        <w:rPr>
          <w:rFonts w:hint="eastAsia" w:ascii="宋体" w:hAnsi="宋体" w:cs="宋体"/>
          <w:sz w:val="24"/>
          <w:u w:val="single"/>
        </w:rPr>
        <w:t xml:space="preserve">   招标人     </w:t>
      </w:r>
      <w:r>
        <w:rPr>
          <w:rFonts w:hint="eastAsia" w:ascii="宋体" w:hAnsi="宋体" w:cs="宋体"/>
          <w:sz w:val="24"/>
        </w:rPr>
        <w:t>：</w:t>
      </w:r>
    </w:p>
    <w:p>
      <w:pPr>
        <w:widowControl/>
        <w:spacing w:line="460" w:lineRule="exact"/>
        <w:ind w:left="120" w:hanging="120"/>
        <w:jc w:val="left"/>
        <w:rPr>
          <w:rFonts w:ascii="宋体" w:hAnsi="宋体" w:cs="宋体"/>
          <w:sz w:val="24"/>
        </w:rPr>
      </w:pPr>
      <w:r>
        <w:rPr>
          <w:rFonts w:hint="eastAsia" w:ascii="宋体" w:hAnsi="宋体" w:cs="宋体"/>
          <w:sz w:val="24"/>
        </w:rPr>
        <w:t xml:space="preserve">    关于贵方</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日发出的</w:t>
      </w:r>
      <w:r>
        <w:rPr>
          <w:rFonts w:hint="eastAsia" w:ascii="宋体" w:hAnsi="宋体" w:cs="宋体"/>
          <w:sz w:val="24"/>
          <w:u w:val="single"/>
        </w:rPr>
        <w:t xml:space="preserve">                    </w:t>
      </w:r>
      <w:r>
        <w:rPr>
          <w:rFonts w:hint="eastAsia" w:ascii="宋体" w:hAnsi="宋体" w:cs="宋体"/>
          <w:sz w:val="24"/>
        </w:rPr>
        <w:t>项目招标文件，本投标方愿意参加投标，并证明资格文件中和所要求的说明是真实和准确无误的。</w:t>
      </w:r>
    </w:p>
    <w:p>
      <w:pPr>
        <w:spacing w:line="460" w:lineRule="exact"/>
        <w:ind w:left="120" w:hanging="120"/>
        <w:rPr>
          <w:rFonts w:ascii="宋体" w:hAnsi="宋体" w:cs="宋体"/>
          <w:sz w:val="24"/>
        </w:rPr>
      </w:pPr>
      <w:r>
        <w:rPr>
          <w:rFonts w:hint="eastAsia" w:ascii="宋体" w:hAnsi="宋体" w:cs="宋体"/>
          <w:sz w:val="24"/>
        </w:rPr>
        <w:t xml:space="preserve">    本投标方对可能要求的进一步的资格资料表示理解和同意，并同意按贵方的要求提供任何有关资料。</w:t>
      </w: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r>
        <w:rPr>
          <w:rFonts w:hint="eastAsia" w:ascii="宋体" w:hAnsi="宋体" w:cs="宋体"/>
          <w:sz w:val="24"/>
        </w:rPr>
        <w:t xml:space="preserve">    投标单位名称： </w:t>
      </w:r>
      <w:r>
        <w:rPr>
          <w:rFonts w:hint="eastAsia" w:ascii="宋体" w:hAnsi="宋体" w:cs="宋体"/>
          <w:sz w:val="24"/>
          <w:u w:val="single"/>
        </w:rPr>
        <w:t xml:space="preserve">                           </w:t>
      </w:r>
      <w:r>
        <w:rPr>
          <w:rFonts w:hint="eastAsia" w:ascii="宋体" w:hAnsi="宋体" w:cs="宋体"/>
          <w:sz w:val="24"/>
        </w:rPr>
        <w:t>（法人公章）</w:t>
      </w:r>
    </w:p>
    <w:p>
      <w:pPr>
        <w:spacing w:line="460" w:lineRule="exact"/>
        <w:ind w:left="120" w:hanging="120"/>
        <w:rPr>
          <w:rFonts w:ascii="宋体" w:hAnsi="宋体" w:cs="宋体"/>
          <w:sz w:val="24"/>
        </w:rPr>
      </w:pPr>
      <w:r>
        <w:rPr>
          <w:rFonts w:hint="eastAsia" w:ascii="宋体" w:hAnsi="宋体" w:cs="宋体"/>
          <w:sz w:val="24"/>
        </w:rPr>
        <w:t xml:space="preserve">    法定代表人或授权代表人（签字或盖章）：</w:t>
      </w:r>
      <w:r>
        <w:rPr>
          <w:rFonts w:hint="eastAsia" w:ascii="宋体" w:hAnsi="宋体" w:cs="宋体"/>
          <w:sz w:val="24"/>
          <w:u w:val="single"/>
        </w:rPr>
        <w:t xml:space="preserve">                </w:t>
      </w:r>
    </w:p>
    <w:p>
      <w:pPr>
        <w:spacing w:line="460" w:lineRule="exact"/>
        <w:ind w:firstLine="480" w:firstLineChars="2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w:t>
      </w:r>
    </w:p>
    <w:p>
      <w:pPr>
        <w:spacing w:line="460" w:lineRule="exact"/>
        <w:ind w:left="120" w:hanging="120"/>
        <w:rPr>
          <w:rFonts w:ascii="宋体" w:hAnsi="宋体" w:cs="宋体"/>
          <w:sz w:val="24"/>
        </w:rPr>
      </w:pPr>
      <w:r>
        <w:rPr>
          <w:rFonts w:hint="eastAsia" w:ascii="宋体" w:hAnsi="宋体" w:cs="宋体"/>
          <w:sz w:val="24"/>
        </w:rPr>
        <w:t xml:space="preserve">    传真：</w:t>
      </w:r>
      <w:r>
        <w:rPr>
          <w:rFonts w:hint="eastAsia" w:ascii="宋体" w:hAnsi="宋体" w:cs="宋体"/>
          <w:sz w:val="24"/>
          <w:u w:val="single"/>
        </w:rPr>
        <w:t xml:space="preserve">                                               </w:t>
      </w:r>
    </w:p>
    <w:p>
      <w:pPr>
        <w:spacing w:line="460" w:lineRule="exact"/>
        <w:ind w:left="120" w:hanging="120"/>
        <w:rPr>
          <w:rFonts w:ascii="宋体" w:hAnsi="宋体" w:cs="宋体"/>
          <w:sz w:val="24"/>
        </w:rPr>
      </w:pPr>
      <w:r>
        <w:rPr>
          <w:rFonts w:hint="eastAsia" w:ascii="宋体" w:hAnsi="宋体" w:cs="宋体"/>
          <w:sz w:val="24"/>
        </w:rPr>
        <w:t xml:space="preserve">    电话：</w:t>
      </w:r>
      <w:r>
        <w:rPr>
          <w:rFonts w:hint="eastAsia" w:ascii="宋体" w:hAnsi="宋体" w:cs="宋体"/>
          <w:sz w:val="24"/>
          <w:u w:val="single"/>
        </w:rPr>
        <w:t xml:space="preserve">                                               </w:t>
      </w: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ind w:left="120" w:hanging="120"/>
        <w:jc w:val="center"/>
        <w:outlineLvl w:val="0"/>
        <w:rPr>
          <w:rFonts w:hint="eastAsia" w:ascii="宋体" w:hAnsi="宋体" w:cs="宋体"/>
          <w:b/>
          <w:sz w:val="24"/>
        </w:rPr>
      </w:pPr>
      <w:bookmarkStart w:id="40" w:name="_Toc22003"/>
    </w:p>
    <w:p>
      <w:pPr>
        <w:ind w:left="120" w:hanging="120"/>
        <w:jc w:val="center"/>
        <w:outlineLvl w:val="0"/>
        <w:rPr>
          <w:rFonts w:ascii="宋体" w:hAnsi="宋体" w:cs="宋体"/>
          <w:color w:val="000000"/>
          <w:sz w:val="24"/>
        </w:rPr>
      </w:pPr>
      <w:r>
        <w:rPr>
          <w:rFonts w:hint="eastAsia" w:ascii="宋体" w:hAnsi="宋体" w:cs="宋体"/>
          <w:b/>
          <w:sz w:val="24"/>
        </w:rPr>
        <w:t>2、投标单位基本情况表</w:t>
      </w:r>
      <w:bookmarkEnd w:id="40"/>
    </w:p>
    <w:p>
      <w:pPr>
        <w:spacing w:line="440" w:lineRule="exact"/>
        <w:ind w:left="120" w:hanging="120"/>
        <w:jc w:val="left"/>
        <w:rPr>
          <w:rFonts w:ascii="宋体" w:hAnsi="宋体" w:cs="宋体"/>
          <w:b/>
          <w:bCs/>
          <w:color w:val="0000FF"/>
          <w:sz w:val="24"/>
        </w:rPr>
      </w:pPr>
      <w:r>
        <w:rPr>
          <w:rFonts w:hint="eastAsia" w:ascii="宋体" w:hAnsi="宋体" w:cs="宋体"/>
          <w:b/>
          <w:bCs/>
          <w:color w:val="0000FF"/>
          <w:sz w:val="24"/>
        </w:rPr>
        <w:t>2.1、具有较强的项目管理、技术服务和组织实施能力、具有履行合同所必需的设备和专业技术能力；有良好的执业质量记录，具有良好的职业道德记录和社会声誉；在</w:t>
      </w:r>
      <w:r>
        <w:rPr>
          <w:rFonts w:hint="eastAsia" w:ascii="宋体" w:hAnsi="宋体" w:cs="宋体"/>
          <w:b/>
          <w:bCs/>
          <w:color w:val="0000FF"/>
          <w:sz w:val="24"/>
          <w:lang w:val="en-US" w:eastAsia="zh-CN"/>
        </w:rPr>
        <w:t>工程鉴定</w:t>
      </w:r>
      <w:r>
        <w:rPr>
          <w:rFonts w:hint="eastAsia" w:ascii="宋体" w:hAnsi="宋体" w:cs="宋体"/>
          <w:b/>
          <w:bCs/>
          <w:color w:val="0000FF"/>
          <w:sz w:val="24"/>
        </w:rPr>
        <w:t>工作中没有出现重大质量问题和不良记录，具备承担相应风险的能力（提供证明文件）。</w:t>
      </w:r>
    </w:p>
    <w:p>
      <w:pPr>
        <w:spacing w:line="480" w:lineRule="exact"/>
        <w:ind w:firstLine="480" w:firstLineChars="200"/>
        <w:rPr>
          <w:rFonts w:ascii="宋体" w:hAnsi="宋体" w:cs="宋体"/>
          <w:color w:val="000000"/>
          <w:sz w:val="24"/>
        </w:rPr>
      </w:pPr>
    </w:p>
    <w:p>
      <w:pPr>
        <w:autoSpaceDE w:val="0"/>
        <w:autoSpaceDN w:val="0"/>
        <w:adjustRightInd w:val="0"/>
        <w:ind w:left="120" w:hanging="120"/>
        <w:jc w:val="center"/>
        <w:rPr>
          <w:rFonts w:ascii="宋体" w:hAnsi="宋体" w:cs="宋体"/>
          <w:sz w:val="24"/>
        </w:rPr>
      </w:pPr>
      <w:r>
        <w:rPr>
          <w:rFonts w:hint="eastAsia" w:ascii="宋体" w:hAnsi="宋体" w:cs="宋体"/>
          <w:b/>
          <w:bCs/>
          <w:color w:val="000000"/>
          <w:kern w:val="0"/>
          <w:sz w:val="24"/>
        </w:rPr>
        <w:t>2.2</w:t>
      </w:r>
      <w:r>
        <w:rPr>
          <w:rFonts w:hint="eastAsia" w:ascii="宋体" w:hAnsi="宋体" w:cs="宋体"/>
          <w:b/>
          <w:sz w:val="24"/>
        </w:rPr>
        <w:t>投标单位总体情况表（一）</w:t>
      </w:r>
    </w:p>
    <w:tbl>
      <w:tblPr>
        <w:tblStyle w:val="70"/>
        <w:tblW w:w="10141" w:type="dxa"/>
        <w:tblInd w:w="-252" w:type="dxa"/>
        <w:tblLayout w:type="fixed"/>
        <w:tblCellMar>
          <w:top w:w="0" w:type="dxa"/>
          <w:left w:w="108" w:type="dxa"/>
          <w:bottom w:w="0" w:type="dxa"/>
          <w:right w:w="108" w:type="dxa"/>
        </w:tblCellMar>
      </w:tblPr>
      <w:tblGrid>
        <w:gridCol w:w="1683"/>
        <w:gridCol w:w="1246"/>
        <w:gridCol w:w="1744"/>
        <w:gridCol w:w="2943"/>
        <w:gridCol w:w="2525"/>
      </w:tblGrid>
      <w:tr>
        <w:tblPrEx>
          <w:tblCellMar>
            <w:top w:w="0" w:type="dxa"/>
            <w:left w:w="108" w:type="dxa"/>
            <w:bottom w:w="0" w:type="dxa"/>
            <w:right w:w="108" w:type="dxa"/>
          </w:tblCellMar>
        </w:tblPrEx>
        <w:trPr>
          <w:trHeight w:val="680" w:hRule="atLeast"/>
        </w:trPr>
        <w:tc>
          <w:tcPr>
            <w:tcW w:w="10141" w:type="dxa"/>
            <w:gridSpan w:val="5"/>
            <w:tcBorders>
              <w:top w:val="nil"/>
              <w:left w:val="nil"/>
              <w:bottom w:val="single" w:color="auto" w:sz="4" w:space="0"/>
              <w:right w:val="nil"/>
            </w:tcBorders>
            <w:vAlign w:val="bottom"/>
          </w:tcPr>
          <w:p>
            <w:pPr>
              <w:widowControl/>
              <w:ind w:left="120" w:hanging="120"/>
              <w:rPr>
                <w:rFonts w:ascii="宋体" w:hAnsi="宋体" w:cs="宋体"/>
                <w:bCs/>
                <w:sz w:val="24"/>
              </w:rPr>
            </w:pPr>
            <w:r>
              <w:rPr>
                <w:rFonts w:hint="eastAsia" w:ascii="宋体" w:hAnsi="宋体" w:cs="宋体"/>
                <w:bCs/>
                <w:sz w:val="24"/>
              </w:rPr>
              <w:t>投标单位名称：</w:t>
            </w:r>
          </w:p>
        </w:tc>
      </w:tr>
      <w:tr>
        <w:tblPrEx>
          <w:tblCellMar>
            <w:top w:w="0" w:type="dxa"/>
            <w:left w:w="108" w:type="dxa"/>
            <w:bottom w:w="0" w:type="dxa"/>
            <w:right w:w="108" w:type="dxa"/>
          </w:tblCellMar>
        </w:tblPrEx>
        <w:trPr>
          <w:trHeight w:val="837" w:hRule="atLeast"/>
        </w:trPr>
        <w:tc>
          <w:tcPr>
            <w:tcW w:w="1683" w:type="dxa"/>
            <w:vMerge w:val="restart"/>
            <w:tcBorders>
              <w:top w:val="nil"/>
              <w:left w:val="single" w:color="auto" w:sz="4" w:space="0"/>
              <w:bottom w:val="single" w:color="auto" w:sz="4" w:space="0"/>
              <w:right w:val="single" w:color="auto"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资质等级</w:t>
            </w:r>
          </w:p>
        </w:tc>
        <w:tc>
          <w:tcPr>
            <w:tcW w:w="1246" w:type="dxa"/>
            <w:vMerge w:val="restart"/>
            <w:tcBorders>
              <w:top w:val="nil"/>
              <w:left w:val="single" w:color="auto" w:sz="4" w:space="0"/>
              <w:bottom w:val="single" w:color="auto" w:sz="4" w:space="0"/>
              <w:right w:val="single" w:color="auto"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注册资金（万元）</w:t>
            </w:r>
          </w:p>
        </w:tc>
        <w:tc>
          <w:tcPr>
            <w:tcW w:w="1744" w:type="dxa"/>
            <w:vMerge w:val="restart"/>
            <w:tcBorders>
              <w:top w:val="nil"/>
              <w:left w:val="single" w:color="auto" w:sz="4" w:space="0"/>
              <w:bottom w:val="single" w:color="auto" w:sz="4" w:space="0"/>
              <w:right w:val="single" w:color="auto"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近三年平均营业收入情况（万元）</w:t>
            </w:r>
          </w:p>
        </w:tc>
        <w:tc>
          <w:tcPr>
            <w:tcW w:w="5468" w:type="dxa"/>
            <w:gridSpan w:val="2"/>
            <w:tcBorders>
              <w:top w:val="single" w:color="auto" w:sz="4" w:space="0"/>
              <w:left w:val="nil"/>
              <w:bottom w:val="single" w:color="auto" w:sz="4" w:space="0"/>
              <w:right w:val="single" w:color="auto"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参加项目人员共计    人</w:t>
            </w:r>
          </w:p>
        </w:tc>
      </w:tr>
      <w:tr>
        <w:tblPrEx>
          <w:tblCellMar>
            <w:top w:w="0" w:type="dxa"/>
            <w:left w:w="108" w:type="dxa"/>
            <w:bottom w:w="0" w:type="dxa"/>
            <w:right w:w="108" w:type="dxa"/>
          </w:tblCellMar>
        </w:tblPrEx>
        <w:trPr>
          <w:trHeight w:val="960" w:hRule="atLeast"/>
        </w:trPr>
        <w:tc>
          <w:tcPr>
            <w:tcW w:w="1683" w:type="dxa"/>
            <w:vMerge w:val="continue"/>
            <w:tcBorders>
              <w:top w:val="nil"/>
              <w:left w:val="single" w:color="auto" w:sz="4" w:space="0"/>
              <w:bottom w:val="single" w:color="auto" w:sz="4" w:space="0"/>
              <w:right w:val="single" w:color="auto" w:sz="4" w:space="0"/>
            </w:tcBorders>
            <w:vAlign w:val="center"/>
          </w:tcPr>
          <w:p>
            <w:pPr>
              <w:widowControl/>
              <w:snapToGrid w:val="0"/>
              <w:ind w:left="120" w:hanging="120"/>
              <w:rPr>
                <w:rFonts w:ascii="宋体" w:hAnsi="宋体" w:cs="宋体"/>
                <w:bCs/>
                <w:sz w:val="24"/>
              </w:rPr>
            </w:pPr>
          </w:p>
        </w:tc>
        <w:tc>
          <w:tcPr>
            <w:tcW w:w="1246" w:type="dxa"/>
            <w:vMerge w:val="continue"/>
            <w:tcBorders>
              <w:top w:val="nil"/>
              <w:left w:val="single" w:color="auto" w:sz="4" w:space="0"/>
              <w:bottom w:val="single" w:color="auto" w:sz="4" w:space="0"/>
              <w:right w:val="single" w:color="auto" w:sz="4" w:space="0"/>
            </w:tcBorders>
            <w:vAlign w:val="center"/>
          </w:tcPr>
          <w:p>
            <w:pPr>
              <w:widowControl/>
              <w:snapToGrid w:val="0"/>
              <w:ind w:left="120" w:hanging="120"/>
              <w:rPr>
                <w:rFonts w:ascii="宋体" w:hAnsi="宋体" w:cs="宋体"/>
                <w:bCs/>
                <w:sz w:val="24"/>
              </w:rPr>
            </w:pPr>
          </w:p>
        </w:tc>
        <w:tc>
          <w:tcPr>
            <w:tcW w:w="1744" w:type="dxa"/>
            <w:vMerge w:val="continue"/>
            <w:tcBorders>
              <w:top w:val="nil"/>
              <w:left w:val="single" w:color="auto" w:sz="4" w:space="0"/>
              <w:bottom w:val="single" w:color="auto" w:sz="4" w:space="0"/>
              <w:right w:val="single" w:color="auto" w:sz="4" w:space="0"/>
            </w:tcBorders>
            <w:vAlign w:val="center"/>
          </w:tcPr>
          <w:p>
            <w:pPr>
              <w:widowControl/>
              <w:snapToGrid w:val="0"/>
              <w:ind w:left="120" w:hanging="120"/>
              <w:rPr>
                <w:rFonts w:ascii="宋体" w:hAnsi="宋体" w:cs="宋体"/>
                <w:bCs/>
                <w:sz w:val="24"/>
              </w:rPr>
            </w:pPr>
          </w:p>
        </w:tc>
        <w:tc>
          <w:tcPr>
            <w:tcW w:w="2943" w:type="dxa"/>
            <w:tcBorders>
              <w:top w:val="nil"/>
              <w:left w:val="nil"/>
              <w:bottom w:val="single" w:color="auto" w:sz="4" w:space="0"/>
              <w:right w:val="single" w:color="auto"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中、</w:t>
            </w:r>
            <w:r>
              <w:rPr>
                <w:rFonts w:hint="eastAsia" w:ascii="宋体" w:hAnsi="宋体" w:cs="宋体"/>
                <w:sz w:val="24"/>
              </w:rPr>
              <w:t>高</w:t>
            </w:r>
            <w:r>
              <w:rPr>
                <w:rFonts w:hint="eastAsia" w:ascii="宋体" w:hAnsi="宋体" w:cs="宋体"/>
                <w:bCs/>
                <w:sz w:val="24"/>
              </w:rPr>
              <w:t>级职称总人数</w:t>
            </w:r>
          </w:p>
        </w:tc>
        <w:tc>
          <w:tcPr>
            <w:tcW w:w="2525" w:type="dxa"/>
            <w:tcBorders>
              <w:top w:val="single" w:color="auto" w:sz="4" w:space="0"/>
              <w:left w:val="nil"/>
              <w:bottom w:val="single" w:color="auto" w:sz="4" w:space="0"/>
              <w:right w:val="single" w:color="000000"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其他人员情况</w:t>
            </w:r>
          </w:p>
        </w:tc>
      </w:tr>
      <w:tr>
        <w:tblPrEx>
          <w:tblCellMar>
            <w:top w:w="0" w:type="dxa"/>
            <w:left w:w="108" w:type="dxa"/>
            <w:bottom w:w="0" w:type="dxa"/>
            <w:right w:w="108" w:type="dxa"/>
          </w:tblCellMar>
        </w:tblPrEx>
        <w:trPr>
          <w:trHeight w:val="973" w:hRule="atLeast"/>
        </w:trPr>
        <w:tc>
          <w:tcPr>
            <w:tcW w:w="1683"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bCs/>
                <w:sz w:val="24"/>
              </w:rPr>
            </w:pPr>
            <w:r>
              <w:rPr>
                <w:rFonts w:hint="eastAsia" w:ascii="宋体" w:hAnsi="宋体" w:cs="宋体"/>
                <w:bCs/>
                <w:sz w:val="24"/>
              </w:rPr>
              <w:t>　</w:t>
            </w:r>
          </w:p>
        </w:tc>
        <w:tc>
          <w:tcPr>
            <w:tcW w:w="1246"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bCs/>
                <w:sz w:val="24"/>
              </w:rPr>
            </w:pPr>
            <w:r>
              <w:rPr>
                <w:rFonts w:hint="eastAsia" w:ascii="宋体" w:hAnsi="宋体" w:cs="宋体"/>
                <w:bCs/>
                <w:sz w:val="24"/>
              </w:rPr>
              <w:t>　</w:t>
            </w:r>
          </w:p>
        </w:tc>
        <w:tc>
          <w:tcPr>
            <w:tcW w:w="1744"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bCs/>
                <w:sz w:val="24"/>
              </w:rPr>
            </w:pPr>
            <w:r>
              <w:rPr>
                <w:rFonts w:hint="eastAsia" w:ascii="宋体" w:hAnsi="宋体" w:cs="宋体"/>
                <w:bCs/>
                <w:sz w:val="24"/>
              </w:rPr>
              <w:t>　</w:t>
            </w:r>
          </w:p>
        </w:tc>
        <w:tc>
          <w:tcPr>
            <w:tcW w:w="2943"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bCs/>
                <w:sz w:val="24"/>
              </w:rPr>
            </w:pPr>
            <w:r>
              <w:rPr>
                <w:rFonts w:hint="eastAsia" w:ascii="宋体" w:hAnsi="宋体" w:cs="宋体"/>
                <w:bCs/>
                <w:sz w:val="24"/>
              </w:rPr>
              <w:t>　</w:t>
            </w:r>
          </w:p>
          <w:p>
            <w:pPr>
              <w:widowControl/>
              <w:ind w:left="120" w:hanging="120"/>
              <w:jc w:val="center"/>
              <w:rPr>
                <w:rFonts w:ascii="宋体" w:hAnsi="宋体" w:cs="宋体"/>
                <w:bCs/>
                <w:color w:val="FF0000"/>
                <w:sz w:val="24"/>
              </w:rPr>
            </w:pPr>
          </w:p>
        </w:tc>
        <w:tc>
          <w:tcPr>
            <w:tcW w:w="2525" w:type="dxa"/>
            <w:tcBorders>
              <w:top w:val="single" w:color="auto" w:sz="4" w:space="0"/>
              <w:left w:val="nil"/>
              <w:bottom w:val="single" w:color="auto" w:sz="4" w:space="0"/>
              <w:right w:val="single" w:color="000000" w:sz="4" w:space="0"/>
            </w:tcBorders>
            <w:vAlign w:val="center"/>
          </w:tcPr>
          <w:p>
            <w:pPr>
              <w:widowControl/>
              <w:ind w:left="120" w:hanging="120"/>
              <w:jc w:val="center"/>
              <w:rPr>
                <w:rFonts w:ascii="宋体" w:hAnsi="宋体" w:cs="宋体"/>
                <w:bCs/>
                <w:sz w:val="24"/>
              </w:rPr>
            </w:pPr>
            <w:r>
              <w:rPr>
                <w:rFonts w:hint="eastAsia" w:ascii="宋体" w:hAnsi="宋体" w:cs="宋体"/>
                <w:bCs/>
                <w:sz w:val="24"/>
              </w:rPr>
              <w:t>　</w:t>
            </w:r>
          </w:p>
        </w:tc>
      </w:tr>
      <w:tr>
        <w:tblPrEx>
          <w:tblCellMar>
            <w:top w:w="0" w:type="dxa"/>
            <w:left w:w="108" w:type="dxa"/>
            <w:bottom w:w="0" w:type="dxa"/>
            <w:right w:w="108" w:type="dxa"/>
          </w:tblCellMar>
        </w:tblPrEx>
        <w:trPr>
          <w:trHeight w:val="1292" w:hRule="atLeast"/>
        </w:trPr>
        <w:tc>
          <w:tcPr>
            <w:tcW w:w="10141" w:type="dxa"/>
            <w:gridSpan w:val="5"/>
            <w:tcBorders>
              <w:top w:val="single" w:color="auto" w:sz="4" w:space="0"/>
              <w:left w:val="nil"/>
              <w:bottom w:val="nil"/>
              <w:right w:val="nil"/>
            </w:tcBorders>
            <w:vAlign w:val="bottom"/>
          </w:tcPr>
          <w:p>
            <w:pPr>
              <w:widowControl/>
              <w:snapToGrid w:val="0"/>
              <w:ind w:left="120" w:hanging="120"/>
              <w:rPr>
                <w:rFonts w:ascii="宋体" w:hAnsi="宋体" w:cs="宋体"/>
                <w:bCs/>
                <w:sz w:val="24"/>
              </w:rPr>
            </w:pPr>
            <w:r>
              <w:rPr>
                <w:rFonts w:hint="eastAsia" w:ascii="宋体" w:hAnsi="宋体" w:cs="宋体"/>
                <w:bCs/>
                <w:sz w:val="24"/>
              </w:rPr>
              <w:t xml:space="preserve"> </w:t>
            </w:r>
          </w:p>
          <w:p>
            <w:pPr>
              <w:widowControl/>
              <w:snapToGrid w:val="0"/>
              <w:ind w:left="120" w:hanging="120"/>
              <w:rPr>
                <w:rFonts w:ascii="宋体" w:hAnsi="宋体" w:cs="宋体"/>
                <w:bCs/>
                <w:sz w:val="24"/>
              </w:rPr>
            </w:pPr>
            <w:r>
              <w:rPr>
                <w:rFonts w:hint="eastAsia" w:ascii="宋体" w:hAnsi="宋体" w:cs="宋体"/>
                <w:bCs/>
                <w:sz w:val="24"/>
              </w:rPr>
              <w:t>附：</w:t>
            </w:r>
          </w:p>
          <w:p>
            <w:pPr>
              <w:widowControl/>
              <w:snapToGrid w:val="0"/>
              <w:ind w:left="840" w:hanging="840" w:hangingChars="350"/>
              <w:rPr>
                <w:rFonts w:ascii="宋体" w:hAnsi="宋体" w:cs="宋体"/>
                <w:bCs/>
                <w:sz w:val="24"/>
              </w:rPr>
            </w:pPr>
          </w:p>
          <w:p>
            <w:pPr>
              <w:widowControl/>
              <w:numPr>
                <w:ilvl w:val="0"/>
                <w:numId w:val="13"/>
              </w:numPr>
              <w:snapToGrid w:val="0"/>
              <w:ind w:left="120" w:hanging="120"/>
              <w:rPr>
                <w:rFonts w:ascii="宋体" w:hAnsi="宋体" w:cs="宋体"/>
                <w:bCs/>
                <w:color w:val="0000FF"/>
                <w:sz w:val="24"/>
              </w:rPr>
            </w:pPr>
            <w:r>
              <w:rPr>
                <w:rFonts w:hint="eastAsia" w:ascii="宋体" w:hAnsi="宋体" w:cs="宋体"/>
                <w:bCs/>
                <w:color w:val="0000FF"/>
                <w:sz w:val="24"/>
              </w:rPr>
              <w:t>上述人员职称证书</w:t>
            </w:r>
            <w:r>
              <w:rPr>
                <w:rFonts w:hint="eastAsia" w:ascii="宋体" w:hAnsi="宋体" w:cs="宋体"/>
                <w:color w:val="0000FF"/>
                <w:sz w:val="24"/>
              </w:rPr>
              <w:t>复印件加盖公章</w:t>
            </w:r>
            <w:r>
              <w:rPr>
                <w:rFonts w:hint="eastAsia" w:ascii="宋体" w:hAnsi="宋体" w:cs="宋体"/>
                <w:bCs/>
                <w:color w:val="0000FF"/>
                <w:sz w:val="24"/>
              </w:rPr>
              <w:t>。</w:t>
            </w:r>
          </w:p>
          <w:p>
            <w:pPr>
              <w:widowControl/>
              <w:numPr>
                <w:ilvl w:val="0"/>
                <w:numId w:val="13"/>
              </w:numPr>
              <w:snapToGrid w:val="0"/>
              <w:ind w:left="120" w:hanging="120"/>
              <w:rPr>
                <w:rFonts w:ascii="宋体" w:hAnsi="宋体" w:cs="宋体"/>
                <w:bCs/>
                <w:color w:val="0000FF"/>
                <w:sz w:val="24"/>
              </w:rPr>
            </w:pPr>
            <w:r>
              <w:rPr>
                <w:rFonts w:hint="eastAsia" w:ascii="宋体" w:hAnsi="宋体" w:cs="宋体"/>
                <w:bCs/>
                <w:color w:val="0000FF"/>
                <w:sz w:val="24"/>
              </w:rPr>
              <w:t>附投标人营业执照、资质证书等复印件。</w:t>
            </w:r>
          </w:p>
          <w:p>
            <w:pPr>
              <w:widowControl/>
              <w:snapToGrid w:val="0"/>
              <w:ind w:left="120" w:hanging="120"/>
              <w:rPr>
                <w:rFonts w:ascii="宋体" w:hAnsi="宋体" w:cs="宋体"/>
                <w:bCs/>
                <w:sz w:val="24"/>
              </w:rPr>
            </w:pPr>
          </w:p>
        </w:tc>
      </w:tr>
    </w:tbl>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spacing w:line="640" w:lineRule="exact"/>
        <w:ind w:left="120" w:hanging="120"/>
        <w:rPr>
          <w:rFonts w:ascii="宋体" w:hAnsi="宋体" w:cs="宋体"/>
          <w:sz w:val="24"/>
        </w:rPr>
      </w:pPr>
      <w:r>
        <w:rPr>
          <w:rFonts w:hint="eastAsia" w:ascii="宋体" w:hAnsi="宋体" w:cs="宋体"/>
          <w:sz w:val="24"/>
        </w:rPr>
        <w:t xml:space="preserve">  投标</w:t>
      </w:r>
      <w:r>
        <w:rPr>
          <w:rFonts w:hint="eastAsia" w:ascii="宋体" w:hAnsi="宋体" w:cs="宋体"/>
          <w:color w:val="000000"/>
          <w:sz w:val="24"/>
        </w:rPr>
        <w:t>单位：</w:t>
      </w:r>
      <w:r>
        <w:rPr>
          <w:rFonts w:hint="eastAsia" w:ascii="宋体" w:hAnsi="宋体" w:cs="宋体"/>
          <w:sz w:val="24"/>
        </w:rPr>
        <w:t>(</w:t>
      </w:r>
      <w:r>
        <w:rPr>
          <w:rFonts w:hint="eastAsia" w:ascii="宋体" w:hAnsi="宋体" w:cs="宋体"/>
          <w:color w:val="000000"/>
          <w:sz w:val="24"/>
        </w:rPr>
        <w:t>公章</w:t>
      </w:r>
      <w:r>
        <w:rPr>
          <w:rFonts w:hint="eastAsia" w:ascii="宋体" w:hAnsi="宋体" w:cs="宋体"/>
          <w:sz w:val="24"/>
        </w:rPr>
        <w:t>)：</w:t>
      </w:r>
      <w:r>
        <w:rPr>
          <w:rFonts w:hint="eastAsia" w:ascii="宋体" w:hAnsi="宋体" w:cs="宋体"/>
          <w:sz w:val="24"/>
          <w:u w:val="single"/>
        </w:rPr>
        <w:t xml:space="preserve">                                </w:t>
      </w:r>
    </w:p>
    <w:p>
      <w:pPr>
        <w:spacing w:line="640" w:lineRule="exact"/>
        <w:ind w:firstLine="240" w:firstLineChars="100"/>
        <w:rPr>
          <w:rFonts w:ascii="宋体" w:hAnsi="宋体" w:cs="宋体"/>
          <w:sz w:val="24"/>
          <w:u w:val="single"/>
        </w:rPr>
      </w:pPr>
      <w:r>
        <w:rPr>
          <w:rFonts w:hint="eastAsia" w:ascii="宋体" w:hAnsi="宋体" w:cs="宋体"/>
          <w:color w:val="000000"/>
          <w:sz w:val="24"/>
        </w:rPr>
        <w:t>法定代表人或授权代表人（签字或盖章）：</w:t>
      </w:r>
      <w:r>
        <w:rPr>
          <w:rFonts w:hint="eastAsia" w:ascii="宋体" w:hAnsi="宋体" w:cs="宋体"/>
          <w:sz w:val="24"/>
          <w:u w:val="single"/>
        </w:rPr>
        <w:t xml:space="preserve">                </w:t>
      </w:r>
    </w:p>
    <w:p>
      <w:pPr>
        <w:spacing w:line="640" w:lineRule="exact"/>
        <w:ind w:left="120" w:hanging="120"/>
        <w:rPr>
          <w:rFonts w:ascii="宋体" w:hAnsi="宋体" w:cs="宋体"/>
          <w:sz w:val="24"/>
        </w:rPr>
      </w:pPr>
      <w:r>
        <w:rPr>
          <w:rFonts w:hint="eastAsia" w:ascii="宋体" w:hAnsi="宋体" w:cs="宋体"/>
          <w:sz w:val="24"/>
        </w:rPr>
        <w:t xml:space="preserve">  日 期:</w:t>
      </w:r>
      <w:r>
        <w:rPr>
          <w:rFonts w:hint="eastAsia" w:ascii="宋体" w:hAnsi="宋体" w:cs="宋体"/>
          <w:sz w:val="24"/>
          <w:u w:val="single"/>
        </w:rPr>
        <w:t xml:space="preserve">                      </w:t>
      </w:r>
    </w:p>
    <w:p>
      <w:pPr>
        <w:pStyle w:val="36"/>
        <w:spacing w:line="460" w:lineRule="exact"/>
        <w:ind w:firstLine="0" w:firstLineChars="0"/>
        <w:jc w:val="center"/>
        <w:rPr>
          <w:rFonts w:ascii="宋体" w:hAnsi="宋体" w:cs="宋体"/>
          <w:b/>
          <w:sz w:val="24"/>
        </w:rPr>
      </w:pPr>
      <w:r>
        <w:rPr>
          <w:rFonts w:hint="eastAsia" w:ascii="宋体" w:hAnsi="宋体" w:cs="宋体"/>
          <w:b/>
          <w:sz w:val="24"/>
        </w:rPr>
        <w:br w:type="page"/>
      </w:r>
    </w:p>
    <w:p>
      <w:pPr>
        <w:pStyle w:val="36"/>
        <w:spacing w:line="460" w:lineRule="exact"/>
        <w:ind w:firstLine="0" w:firstLineChars="0"/>
        <w:jc w:val="center"/>
        <w:outlineLvl w:val="0"/>
        <w:rPr>
          <w:rFonts w:ascii="宋体" w:hAnsi="宋体" w:cs="宋体"/>
          <w:b/>
          <w:sz w:val="24"/>
        </w:rPr>
      </w:pPr>
      <w:bookmarkStart w:id="41" w:name="_Toc11796"/>
      <w:r>
        <w:rPr>
          <w:rFonts w:hint="eastAsia" w:ascii="宋体" w:hAnsi="宋体" w:cs="宋体"/>
          <w:b/>
          <w:sz w:val="24"/>
        </w:rPr>
        <w:t>3、出具法人营业执照函</w:t>
      </w:r>
      <w:bookmarkEnd w:id="41"/>
    </w:p>
    <w:p>
      <w:pPr>
        <w:pStyle w:val="36"/>
        <w:spacing w:line="460" w:lineRule="exact"/>
        <w:ind w:firstLine="0" w:firstLineChars="0"/>
        <w:rPr>
          <w:rFonts w:ascii="宋体" w:hAnsi="宋体" w:cs="宋体"/>
          <w:b/>
          <w:sz w:val="24"/>
        </w:rPr>
      </w:pPr>
    </w:p>
    <w:p>
      <w:pPr>
        <w:spacing w:line="460" w:lineRule="exact"/>
        <w:ind w:left="120" w:hanging="120"/>
        <w:jc w:val="left"/>
        <w:rPr>
          <w:rFonts w:ascii="宋体" w:hAnsi="宋体" w:cs="宋体"/>
          <w:sz w:val="24"/>
        </w:rPr>
      </w:pPr>
      <w:r>
        <w:rPr>
          <w:rFonts w:hint="eastAsia" w:ascii="宋体" w:hAnsi="宋体" w:cs="宋体"/>
          <w:sz w:val="24"/>
          <w:u w:val="single"/>
        </w:rPr>
        <w:t xml:space="preserve">    招标人    </w:t>
      </w:r>
      <w:r>
        <w:rPr>
          <w:rFonts w:hint="eastAsia" w:ascii="宋体" w:hAnsi="宋体" w:cs="宋体"/>
          <w:sz w:val="24"/>
        </w:rPr>
        <w:t>：</w:t>
      </w:r>
    </w:p>
    <w:p>
      <w:pPr>
        <w:spacing w:line="460" w:lineRule="exact"/>
        <w:ind w:left="120" w:hanging="120"/>
        <w:jc w:val="left"/>
        <w:rPr>
          <w:rFonts w:ascii="宋体" w:hAnsi="宋体" w:cs="宋体"/>
          <w:sz w:val="24"/>
        </w:rPr>
      </w:pPr>
    </w:p>
    <w:p>
      <w:pPr>
        <w:spacing w:line="460" w:lineRule="exact"/>
        <w:ind w:left="120" w:hanging="120"/>
        <w:rPr>
          <w:rFonts w:ascii="宋体" w:hAnsi="宋体" w:cs="宋体"/>
          <w:sz w:val="24"/>
        </w:rPr>
      </w:pPr>
      <w:r>
        <w:rPr>
          <w:rFonts w:hint="eastAsia" w:ascii="宋体" w:hAnsi="宋体" w:cs="宋体"/>
          <w:sz w:val="24"/>
        </w:rPr>
        <w:t xml:space="preserve">    现附上由</w:t>
      </w:r>
      <w:r>
        <w:rPr>
          <w:rFonts w:hint="eastAsia" w:ascii="宋体" w:hAnsi="宋体" w:cs="宋体"/>
          <w:sz w:val="24"/>
          <w:u w:val="single"/>
        </w:rPr>
        <w:t xml:space="preserve">                          </w:t>
      </w:r>
      <w:r>
        <w:rPr>
          <w:rFonts w:hint="eastAsia" w:ascii="宋体" w:hAnsi="宋体" w:cs="宋体"/>
          <w:sz w:val="24"/>
        </w:rPr>
        <w:t>（签发机关名称）签发的我方法人营业执照复印件，该执照已经年检，真实有效。</w:t>
      </w: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p>
    <w:p>
      <w:pPr>
        <w:spacing w:line="640" w:lineRule="exact"/>
        <w:ind w:left="120" w:hanging="120"/>
        <w:rPr>
          <w:rFonts w:ascii="宋体" w:hAnsi="宋体" w:cs="宋体"/>
          <w:sz w:val="24"/>
        </w:rPr>
      </w:pPr>
      <w:r>
        <w:rPr>
          <w:rFonts w:hint="eastAsia" w:ascii="宋体" w:hAnsi="宋体" w:cs="宋体"/>
          <w:sz w:val="24"/>
        </w:rPr>
        <w:t xml:space="preserve">    投标</w:t>
      </w:r>
      <w:r>
        <w:rPr>
          <w:rFonts w:hint="eastAsia" w:ascii="宋体" w:hAnsi="宋体" w:cs="宋体"/>
          <w:color w:val="000000"/>
          <w:sz w:val="24"/>
        </w:rPr>
        <w:t>单位：</w:t>
      </w:r>
      <w:r>
        <w:rPr>
          <w:rFonts w:hint="eastAsia" w:ascii="宋体" w:hAnsi="宋体" w:cs="宋体"/>
          <w:sz w:val="24"/>
        </w:rPr>
        <w:t>(</w:t>
      </w:r>
      <w:r>
        <w:rPr>
          <w:rFonts w:hint="eastAsia" w:ascii="宋体" w:hAnsi="宋体" w:cs="宋体"/>
          <w:color w:val="000000"/>
          <w:sz w:val="24"/>
        </w:rPr>
        <w:t>公章</w:t>
      </w:r>
      <w:r>
        <w:rPr>
          <w:rFonts w:hint="eastAsia" w:ascii="宋体" w:hAnsi="宋体" w:cs="宋体"/>
          <w:sz w:val="24"/>
        </w:rPr>
        <w:t>)：</w:t>
      </w:r>
      <w:r>
        <w:rPr>
          <w:rFonts w:hint="eastAsia" w:ascii="宋体" w:hAnsi="宋体" w:cs="宋体"/>
          <w:sz w:val="24"/>
          <w:u w:val="single"/>
        </w:rPr>
        <w:t xml:space="preserve">                                </w:t>
      </w:r>
    </w:p>
    <w:p>
      <w:pPr>
        <w:spacing w:line="640" w:lineRule="exact"/>
        <w:ind w:firstLine="240" w:firstLineChars="100"/>
        <w:rPr>
          <w:rFonts w:ascii="宋体" w:hAnsi="宋体" w:cs="宋体"/>
          <w:sz w:val="24"/>
          <w:u w:val="single"/>
        </w:rPr>
      </w:pPr>
      <w:r>
        <w:rPr>
          <w:rFonts w:hint="eastAsia" w:ascii="宋体" w:hAnsi="宋体" w:cs="宋体"/>
          <w:sz w:val="24"/>
        </w:rPr>
        <w:t>　</w:t>
      </w:r>
      <w:r>
        <w:rPr>
          <w:rFonts w:hint="eastAsia" w:ascii="宋体" w:hAnsi="宋体" w:cs="宋体"/>
          <w:color w:val="000000"/>
          <w:sz w:val="24"/>
        </w:rPr>
        <w:t>法定代表人或授权代表人（签字或盖章）：</w:t>
      </w:r>
      <w:r>
        <w:rPr>
          <w:rFonts w:hint="eastAsia" w:ascii="宋体" w:hAnsi="宋体" w:cs="宋体"/>
          <w:sz w:val="24"/>
          <w:u w:val="single"/>
        </w:rPr>
        <w:t xml:space="preserve">                </w:t>
      </w:r>
    </w:p>
    <w:p>
      <w:pPr>
        <w:spacing w:line="640" w:lineRule="exact"/>
        <w:ind w:left="120" w:hanging="120"/>
        <w:rPr>
          <w:rFonts w:ascii="宋体" w:hAnsi="宋体" w:cs="宋体"/>
          <w:sz w:val="24"/>
        </w:rPr>
      </w:pPr>
      <w:r>
        <w:rPr>
          <w:rFonts w:hint="eastAsia" w:ascii="宋体" w:hAnsi="宋体" w:cs="宋体"/>
          <w:sz w:val="24"/>
        </w:rPr>
        <w:t>　　日 期:</w:t>
      </w:r>
      <w:r>
        <w:rPr>
          <w:rFonts w:hint="eastAsia" w:ascii="宋体" w:hAnsi="宋体" w:cs="宋体"/>
          <w:sz w:val="24"/>
          <w:u w:val="single"/>
        </w:rPr>
        <w:t xml:space="preserve">                      </w:t>
      </w:r>
    </w:p>
    <w:p>
      <w:pPr>
        <w:spacing w:line="460" w:lineRule="exact"/>
        <w:ind w:left="120" w:hanging="120"/>
        <w:rPr>
          <w:rFonts w:ascii="宋体" w:hAnsi="宋体" w:cs="宋体"/>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pStyle w:val="4"/>
        <w:numPr>
          <w:ilvl w:val="0"/>
          <w:numId w:val="14"/>
        </w:numPr>
        <w:spacing w:line="460" w:lineRule="exact"/>
        <w:ind w:left="120" w:hanging="120"/>
        <w:outlineLvl w:val="0"/>
        <w:rPr>
          <w:rFonts w:ascii="宋体" w:hAnsi="宋体" w:cs="宋体"/>
          <w:sz w:val="24"/>
          <w:szCs w:val="24"/>
        </w:rPr>
      </w:pPr>
      <w:bookmarkStart w:id="42" w:name="_Toc11493"/>
      <w:r>
        <w:rPr>
          <w:rFonts w:hint="eastAsia" w:ascii="宋体" w:hAnsi="宋体" w:cs="宋体"/>
          <w:sz w:val="24"/>
          <w:szCs w:val="24"/>
        </w:rPr>
        <w:t>法定代表人证明书</w:t>
      </w:r>
      <w:bookmarkEnd w:id="42"/>
    </w:p>
    <w:p>
      <w:pPr>
        <w:ind w:left="120" w:hanging="120"/>
        <w:rPr>
          <w:rFonts w:ascii="宋体" w:hAnsi="宋体" w:cs="宋体"/>
          <w:sz w:val="24"/>
        </w:rPr>
      </w:pPr>
    </w:p>
    <w:p>
      <w:pPr>
        <w:spacing w:line="460" w:lineRule="exact"/>
        <w:ind w:left="120" w:hanging="120"/>
        <w:rPr>
          <w:rFonts w:ascii="宋体" w:hAnsi="宋体" w:cs="宋体"/>
          <w:sz w:val="24"/>
          <w:u w:val="single"/>
        </w:rPr>
      </w:pPr>
      <w:r>
        <w:rPr>
          <w:rFonts w:hint="eastAsia" w:ascii="宋体" w:hAnsi="宋体" w:cs="宋体"/>
          <w:sz w:val="24"/>
        </w:rPr>
        <w:t>单位名称：</w:t>
      </w:r>
      <w:r>
        <w:rPr>
          <w:rFonts w:hint="eastAsia" w:ascii="宋体" w:hAnsi="宋体" w:cs="宋体"/>
          <w:sz w:val="24"/>
          <w:u w:val="single"/>
        </w:rPr>
        <w:t xml:space="preserve">                                                  </w:t>
      </w:r>
    </w:p>
    <w:p>
      <w:pPr>
        <w:spacing w:line="460" w:lineRule="exact"/>
        <w:ind w:left="120" w:hanging="12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w:t>
      </w:r>
    </w:p>
    <w:p>
      <w:pPr>
        <w:spacing w:line="460" w:lineRule="exact"/>
        <w:ind w:left="120" w:hanging="120"/>
        <w:rPr>
          <w:rFonts w:ascii="宋体" w:hAnsi="宋体" w:cs="宋体"/>
          <w:sz w:val="24"/>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 xml:space="preserve">   性别：</w:t>
      </w:r>
      <w:r>
        <w:rPr>
          <w:rFonts w:hint="eastAsia" w:ascii="宋体" w:hAnsi="宋体" w:cs="宋体"/>
          <w:sz w:val="24"/>
          <w:u w:val="single"/>
        </w:rPr>
        <w:t xml:space="preserve">     </w:t>
      </w:r>
      <w:r>
        <w:rPr>
          <w:rFonts w:hint="eastAsia" w:ascii="宋体" w:hAnsi="宋体" w:cs="宋体"/>
          <w:sz w:val="24"/>
        </w:rPr>
        <w:t>年龄：</w:t>
      </w:r>
      <w:r>
        <w:rPr>
          <w:rFonts w:hint="eastAsia" w:ascii="宋体" w:hAnsi="宋体" w:cs="宋体"/>
          <w:sz w:val="24"/>
          <w:u w:val="single"/>
        </w:rPr>
        <w:t xml:space="preserve">    </w:t>
      </w:r>
      <w:r>
        <w:rPr>
          <w:rFonts w:hint="eastAsia" w:ascii="宋体" w:hAnsi="宋体" w:cs="宋体"/>
          <w:sz w:val="24"/>
        </w:rPr>
        <w:t xml:space="preserve">  职务：</w:t>
      </w:r>
      <w:r>
        <w:rPr>
          <w:rFonts w:hint="eastAsia" w:ascii="宋体" w:hAnsi="宋体" w:cs="宋体"/>
          <w:sz w:val="24"/>
          <w:u w:val="single"/>
        </w:rPr>
        <w:t xml:space="preserve">             </w:t>
      </w:r>
    </w:p>
    <w:p>
      <w:pPr>
        <w:spacing w:line="460" w:lineRule="exact"/>
        <w:ind w:left="120" w:hanging="120"/>
        <w:rPr>
          <w:rFonts w:ascii="宋体" w:hAnsi="宋体" w:cs="宋体"/>
          <w:sz w:val="24"/>
        </w:rPr>
      </w:pPr>
      <w:r>
        <w:rPr>
          <w:rFonts w:hint="eastAsia" w:ascii="宋体" w:hAnsi="宋体" w:cs="宋体"/>
          <w:sz w:val="24"/>
        </w:rPr>
        <w:t xml:space="preserve">系  </w:t>
      </w:r>
      <w:r>
        <w:rPr>
          <w:rFonts w:hint="eastAsia" w:ascii="宋体" w:hAnsi="宋体" w:cs="宋体"/>
          <w:sz w:val="24"/>
          <w:u w:val="single"/>
        </w:rPr>
        <w:t xml:space="preserve">                      </w:t>
      </w:r>
      <w:r>
        <w:rPr>
          <w:rFonts w:hint="eastAsia" w:ascii="宋体" w:hAnsi="宋体" w:cs="宋体"/>
          <w:sz w:val="24"/>
        </w:rPr>
        <w:t>的法定代表人。</w:t>
      </w: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r>
        <w:rPr>
          <w:rFonts w:hint="eastAsia" w:ascii="宋体" w:hAnsi="宋体" w:cs="宋体"/>
          <w:sz w:val="24"/>
        </w:rPr>
        <w:t>投标单位名称：</w:t>
      </w:r>
      <w:r>
        <w:rPr>
          <w:rFonts w:hint="eastAsia" w:ascii="宋体" w:hAnsi="宋体" w:cs="宋体"/>
          <w:sz w:val="24"/>
          <w:u w:val="single"/>
        </w:rPr>
        <w:t xml:space="preserve">                       </w:t>
      </w:r>
      <w:r>
        <w:rPr>
          <w:rFonts w:hint="eastAsia" w:ascii="宋体" w:hAnsi="宋体" w:cs="宋体"/>
          <w:sz w:val="24"/>
        </w:rPr>
        <w:t>（公章）</w:t>
      </w:r>
    </w:p>
    <w:p>
      <w:pPr>
        <w:spacing w:line="460" w:lineRule="exact"/>
        <w:ind w:firstLine="960" w:firstLineChars="400"/>
        <w:jc w:val="right"/>
        <w:rPr>
          <w:rFonts w:ascii="宋体" w:hAnsi="宋体" w:cs="宋体"/>
          <w:sz w:val="24"/>
        </w:rPr>
      </w:pPr>
    </w:p>
    <w:p>
      <w:pPr>
        <w:spacing w:line="460" w:lineRule="exact"/>
        <w:ind w:firstLine="960" w:firstLineChars="400"/>
        <w:jc w:val="right"/>
        <w:rPr>
          <w:rFonts w:ascii="宋体" w:hAnsi="宋体" w:cs="宋体"/>
          <w:sz w:val="24"/>
        </w:rPr>
      </w:pPr>
    </w:p>
    <w:p>
      <w:pPr>
        <w:spacing w:line="460" w:lineRule="exact"/>
        <w:ind w:firstLine="960" w:firstLineChars="400"/>
        <w:jc w:val="right"/>
        <w:rPr>
          <w:rFonts w:ascii="宋体" w:hAnsi="宋体" w:cs="宋体"/>
          <w:sz w:val="24"/>
        </w:rPr>
      </w:pPr>
    </w:p>
    <w:p>
      <w:pPr>
        <w:spacing w:line="460" w:lineRule="exact"/>
        <w:ind w:firstLine="960" w:firstLineChars="400"/>
        <w:jc w:val="right"/>
        <w:rPr>
          <w:rFonts w:ascii="宋体" w:hAnsi="宋体" w:cs="宋体"/>
          <w:sz w:val="24"/>
        </w:rPr>
      </w:pPr>
    </w:p>
    <w:p>
      <w:pPr>
        <w:spacing w:line="460" w:lineRule="exact"/>
        <w:ind w:firstLine="960" w:firstLineChars="400"/>
        <w:jc w:val="right"/>
        <w:rPr>
          <w:rFonts w:ascii="宋体" w:hAnsi="宋体" w:cs="宋体"/>
          <w:sz w:val="24"/>
        </w:rPr>
      </w:pPr>
    </w:p>
    <w:p>
      <w:pPr>
        <w:spacing w:line="460" w:lineRule="exact"/>
        <w:ind w:firstLine="960" w:firstLineChars="400"/>
        <w:rPr>
          <w:rFonts w:ascii="宋体" w:hAnsi="宋体" w:cs="宋体"/>
          <w:sz w:val="24"/>
        </w:rPr>
      </w:pPr>
      <w:r>
        <w:rPr>
          <w:rFonts w:hint="eastAsia" w:ascii="宋体" w:hAnsi="宋体" w:cs="宋体"/>
          <w:sz w:val="24"/>
        </w:rPr>
        <w:t xml:space="preserve">   日期：   年  月  日</w:t>
      </w:r>
    </w:p>
    <w:p>
      <w:pPr>
        <w:spacing w:line="460" w:lineRule="exact"/>
        <w:ind w:left="120" w:hanging="120"/>
        <w:jc w:val="center"/>
        <w:rPr>
          <w:rFonts w:ascii="宋体" w:hAnsi="宋体" w:cs="宋体"/>
          <w:b/>
          <w:sz w:val="24"/>
          <w:lang w:val="zh-CN"/>
        </w:rPr>
      </w:pPr>
      <w:r>
        <w:rPr>
          <w:rFonts w:hint="eastAsia" w:ascii="宋体" w:hAnsi="宋体" w:cs="宋体"/>
          <w:sz w:val="24"/>
        </w:rPr>
        <w:br w:type="page"/>
      </w:r>
      <w:r>
        <w:rPr>
          <w:rFonts w:hint="eastAsia" w:ascii="宋体" w:hAnsi="宋体" w:cs="宋体"/>
          <w:b/>
          <w:sz w:val="24"/>
        </w:rPr>
        <w:t>5.法定代表人授权委托书</w:t>
      </w:r>
    </w:p>
    <w:p>
      <w:pPr>
        <w:autoSpaceDE w:val="0"/>
        <w:autoSpaceDN w:val="0"/>
        <w:adjustRightInd w:val="0"/>
        <w:ind w:left="120" w:hanging="120"/>
        <w:jc w:val="center"/>
        <w:rPr>
          <w:rFonts w:ascii="宋体" w:hAnsi="宋体" w:cs="宋体"/>
          <w:b/>
          <w:bCs/>
          <w:sz w:val="24"/>
          <w:lang w:val="zh-CN"/>
        </w:rPr>
      </w:pPr>
      <w:r>
        <w:rPr>
          <w:rFonts w:hint="eastAsia" w:ascii="宋体" w:hAnsi="宋体" w:cs="宋体"/>
          <w:b/>
          <w:bCs/>
          <w:color w:val="0000FF"/>
          <w:sz w:val="24"/>
          <w:lang w:val="zh-CN"/>
        </w:rPr>
        <w:t>必须在一张纸上</w:t>
      </w:r>
    </w:p>
    <w:p>
      <w:pPr>
        <w:autoSpaceDE w:val="0"/>
        <w:autoSpaceDN w:val="0"/>
        <w:adjustRightInd w:val="0"/>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本授权委托书声明：我</w:t>
      </w:r>
      <w:r>
        <w:rPr>
          <w:rFonts w:hint="eastAsia" w:ascii="宋体" w:hAnsi="宋体" w:cs="宋体"/>
          <w:sz w:val="24"/>
          <w:u w:val="single"/>
          <w:lang w:val="zh-CN"/>
        </w:rPr>
        <w:t xml:space="preserve">         </w:t>
      </w:r>
      <w:r>
        <w:rPr>
          <w:rFonts w:hint="eastAsia" w:ascii="宋体" w:hAnsi="宋体" w:cs="宋体"/>
          <w:sz w:val="24"/>
          <w:lang w:val="zh-CN"/>
        </w:rPr>
        <w:t>（姓名）系</w:t>
      </w:r>
      <w:r>
        <w:rPr>
          <w:rFonts w:hint="eastAsia" w:ascii="宋体" w:hAnsi="宋体" w:cs="宋体"/>
          <w:sz w:val="24"/>
          <w:u w:val="single"/>
          <w:lang w:val="zh-CN"/>
        </w:rPr>
        <w:t xml:space="preserve">               </w:t>
      </w:r>
      <w:r>
        <w:rPr>
          <w:rFonts w:hint="eastAsia" w:ascii="宋体" w:hAnsi="宋体" w:cs="宋体"/>
          <w:sz w:val="24"/>
          <w:lang w:val="zh-CN"/>
        </w:rPr>
        <w:t>（投标人名称）的法定代表人，现授权委托</w:t>
      </w:r>
      <w:r>
        <w:rPr>
          <w:rFonts w:hint="eastAsia" w:ascii="宋体" w:hAnsi="宋体" w:cs="宋体"/>
          <w:sz w:val="24"/>
          <w:u w:val="single"/>
          <w:lang w:val="zh-CN"/>
        </w:rPr>
        <w:t xml:space="preserve">           </w:t>
      </w:r>
      <w:r>
        <w:rPr>
          <w:rFonts w:hint="eastAsia" w:ascii="宋体" w:hAnsi="宋体" w:cs="宋体"/>
          <w:sz w:val="24"/>
          <w:lang w:val="zh-CN"/>
        </w:rPr>
        <w:t>（姓名）为我公司（联合体）代理人，以参加</w:t>
      </w:r>
      <w:r>
        <w:rPr>
          <w:rFonts w:hint="eastAsia" w:ascii="宋体" w:hAnsi="宋体" w:cs="宋体"/>
          <w:sz w:val="24"/>
          <w:u w:val="single"/>
          <w:lang w:val="zh-CN"/>
        </w:rPr>
        <w:t xml:space="preserve">          </w:t>
      </w:r>
      <w:r>
        <w:rPr>
          <w:rFonts w:hint="eastAsia" w:ascii="宋体" w:hAnsi="宋体" w:cs="宋体"/>
          <w:sz w:val="24"/>
          <w:lang w:val="zh-CN"/>
        </w:rPr>
        <w:t>（招标人）的</w:t>
      </w:r>
      <w:r>
        <w:rPr>
          <w:rFonts w:hint="eastAsia" w:ascii="宋体" w:hAnsi="宋体" w:cs="宋体"/>
          <w:sz w:val="24"/>
          <w:u w:val="single"/>
          <w:lang w:val="zh-CN"/>
        </w:rPr>
        <w:t xml:space="preserve">                 </w:t>
      </w:r>
      <w:r>
        <w:rPr>
          <w:rFonts w:hint="eastAsia" w:ascii="宋体" w:hAnsi="宋体" w:cs="宋体"/>
          <w:sz w:val="24"/>
          <w:lang w:val="zh-CN"/>
        </w:rPr>
        <w:t>招标投标活动。代理人在参加整个招标投标活动、合同谈判过程中所签署的一切文件和处理与之有关的一切事物，我均予以承认。</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代理人：</w:t>
      </w:r>
      <w:r>
        <w:rPr>
          <w:rFonts w:hint="eastAsia" w:ascii="宋体" w:hAnsi="宋体" w:cs="宋体"/>
          <w:sz w:val="24"/>
          <w:u w:val="single"/>
          <w:lang w:val="zh-CN"/>
        </w:rPr>
        <w:t xml:space="preserve">              </w:t>
      </w:r>
      <w:r>
        <w:rPr>
          <w:rFonts w:hint="eastAsia" w:ascii="宋体" w:hAnsi="宋体" w:cs="宋体"/>
          <w:sz w:val="24"/>
          <w:lang w:val="zh-CN"/>
        </w:rPr>
        <w:t>性别：</w:t>
      </w:r>
      <w:r>
        <w:rPr>
          <w:rFonts w:hint="eastAsia" w:ascii="宋体" w:hAnsi="宋体" w:cs="宋体"/>
          <w:sz w:val="24"/>
          <w:u w:val="single"/>
          <w:lang w:val="zh-CN"/>
        </w:rPr>
        <w:t xml:space="preserve">             </w:t>
      </w:r>
      <w:r>
        <w:rPr>
          <w:rFonts w:hint="eastAsia" w:ascii="宋体" w:hAnsi="宋体" w:cs="宋体"/>
          <w:sz w:val="24"/>
          <w:lang w:val="zh-CN"/>
        </w:rPr>
        <w:t>年龄：</w:t>
      </w:r>
      <w:r>
        <w:rPr>
          <w:rFonts w:hint="eastAsia" w:ascii="宋体" w:hAnsi="宋体" w:cs="宋体"/>
          <w:sz w:val="24"/>
          <w:u w:val="single"/>
          <w:lang w:val="zh-CN"/>
        </w:rPr>
        <w:t xml:space="preserve">             </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单  位：</w:t>
      </w:r>
      <w:r>
        <w:rPr>
          <w:rFonts w:hint="eastAsia" w:ascii="宋体" w:hAnsi="宋体" w:cs="宋体"/>
          <w:sz w:val="24"/>
          <w:u w:val="single"/>
          <w:lang w:val="zh-CN"/>
        </w:rPr>
        <w:t xml:space="preserve">              </w:t>
      </w:r>
      <w:r>
        <w:rPr>
          <w:rFonts w:hint="eastAsia" w:ascii="宋体" w:hAnsi="宋体" w:cs="宋体"/>
          <w:sz w:val="24"/>
          <w:lang w:val="zh-CN"/>
        </w:rPr>
        <w:t>部门：</w:t>
      </w:r>
      <w:r>
        <w:rPr>
          <w:rFonts w:hint="eastAsia" w:ascii="宋体" w:hAnsi="宋体" w:cs="宋体"/>
          <w:sz w:val="24"/>
          <w:u w:val="single"/>
          <w:lang w:val="zh-CN"/>
        </w:rPr>
        <w:t xml:space="preserve">             </w:t>
      </w:r>
      <w:r>
        <w:rPr>
          <w:rFonts w:hint="eastAsia" w:ascii="宋体" w:hAnsi="宋体" w:cs="宋体"/>
          <w:sz w:val="24"/>
          <w:lang w:val="zh-CN"/>
        </w:rPr>
        <w:t>职务：</w:t>
      </w:r>
      <w:r>
        <w:rPr>
          <w:rFonts w:hint="eastAsia" w:ascii="宋体" w:hAnsi="宋体" w:cs="宋体"/>
          <w:sz w:val="24"/>
          <w:u w:val="single"/>
          <w:lang w:val="zh-CN"/>
        </w:rPr>
        <w:t xml:space="preserve">             </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代理人无转委权。特此委托。附双方法定代表人、被授权人身份证复印件</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bCs/>
          <w:sz w:val="24"/>
        </w:rPr>
        <mc:AlternateContent>
          <mc:Choice Requires="wps">
            <w:drawing>
              <wp:anchor distT="0" distB="0" distL="114300" distR="114300" simplePos="0" relativeHeight="251659264" behindDoc="0" locked="0" layoutInCell="1" allowOverlap="1">
                <wp:simplePos x="0" y="0"/>
                <wp:positionH relativeFrom="column">
                  <wp:posOffset>2790825</wp:posOffset>
                </wp:positionH>
                <wp:positionV relativeFrom="paragraph">
                  <wp:posOffset>145415</wp:posOffset>
                </wp:positionV>
                <wp:extent cx="2472690" cy="1263650"/>
                <wp:effectExtent l="4445" t="4445" r="12065" b="14605"/>
                <wp:wrapNone/>
                <wp:docPr id="9" name="文本框 9"/>
                <wp:cNvGraphicFramePr/>
                <a:graphic xmlns:a="http://schemas.openxmlformats.org/drawingml/2006/main">
                  <a:graphicData uri="http://schemas.microsoft.com/office/word/2010/wordprocessingShape">
                    <wps:wsp>
                      <wps:cNvSpPr txBox="1"/>
                      <wps:spPr>
                        <a:xfrm>
                          <a:off x="0" y="0"/>
                          <a:ext cx="2472690" cy="1263650"/>
                        </a:xfrm>
                        <a:prstGeom prst="rect">
                          <a:avLst/>
                        </a:prstGeom>
                        <a:solidFill>
                          <a:srgbClr val="FFFFFF"/>
                        </a:solidFill>
                        <a:ln w="9525" cap="rnd" cmpd="sng">
                          <a:solidFill>
                            <a:srgbClr val="000000"/>
                          </a:solidFill>
                          <a:prstDash val="sysDot"/>
                          <a:miter/>
                          <a:headEnd type="none" w="med" len="med"/>
                          <a:tailEnd type="none" w="med" len="med"/>
                        </a:ln>
                      </wps:spPr>
                      <wps:txbx>
                        <w:txbxContent>
                          <w:p>
                            <w:pPr>
                              <w:ind w:left="140" w:hanging="140"/>
                              <w:jc w:val="center"/>
                              <w:rPr>
                                <w:sz w:val="28"/>
                                <w:szCs w:val="28"/>
                              </w:rPr>
                            </w:pPr>
                            <w:r>
                              <w:rPr>
                                <w:rFonts w:hint="eastAsia"/>
                                <w:sz w:val="28"/>
                                <w:szCs w:val="28"/>
                              </w:rPr>
                              <w:t>法人身份证复印件背面</w:t>
                            </w:r>
                          </w:p>
                        </w:txbxContent>
                      </wps:txbx>
                      <wps:bodyPr upright="1"/>
                    </wps:wsp>
                  </a:graphicData>
                </a:graphic>
              </wp:anchor>
            </w:drawing>
          </mc:Choice>
          <mc:Fallback>
            <w:pict>
              <v:shape id="_x0000_s1026" o:spid="_x0000_s1026" o:spt="202" type="#_x0000_t202" style="position:absolute;left:0pt;margin-left:219.75pt;margin-top:11.45pt;height:99.5pt;width:194.7pt;z-index:251659264;mso-width-relative:page;mso-height-relative:page;" fillcolor="#FFFFFF" filled="t" stroked="t" coordsize="21600,21600" o:gfxdata="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ByrmjZAAAACgEAAA8AAAAAAAAAAQAgAAAAIgAAAGRycy9kb3ducmV2LnhtbFBL&#10;AQIUABQAAAAIAIdO4kAb/Qk39QEAAOkDAAAOAAAAAAAAAAEAIAAAACgBAABkcnMvZTJvRG9jLnht&#10;bFBLBQYAAAAABgAGAFkBAACPBQAAAAA=&#10;">
                <v:fill on="t" focussize="0,0"/>
                <v:stroke color="#000000" joinstyle="miter" dashstyle="1 1" endcap="round"/>
                <v:imagedata o:title=""/>
                <o:lock v:ext="edit" aspectratio="f"/>
                <v:textbox>
                  <w:txbxContent>
                    <w:p>
                      <w:pPr>
                        <w:ind w:left="140" w:hanging="140"/>
                        <w:jc w:val="center"/>
                        <w:rPr>
                          <w:sz w:val="28"/>
                          <w:szCs w:val="28"/>
                        </w:rPr>
                      </w:pPr>
                      <w:r>
                        <w:rPr>
                          <w:rFonts w:hint="eastAsia"/>
                          <w:sz w:val="28"/>
                          <w:szCs w:val="28"/>
                        </w:rPr>
                        <w:t>法人身份证复印件背面</w:t>
                      </w:r>
                    </w:p>
                  </w:txbxContent>
                </v:textbox>
              </v:shape>
            </w:pict>
          </mc:Fallback>
        </mc:AlternateContent>
      </w:r>
      <w:r>
        <w:rPr>
          <w:rFonts w:hint="eastAsia" w:ascii="宋体" w:hAnsi="宋体" w:cs="宋体"/>
          <w:bCs/>
          <w:sz w:val="24"/>
        </w:rPr>
        <mc:AlternateContent>
          <mc:Choice Requires="wps">
            <w:drawing>
              <wp:anchor distT="0" distB="0" distL="114300" distR="114300" simplePos="0" relativeHeight="251658240" behindDoc="0" locked="0" layoutInCell="1" allowOverlap="1">
                <wp:simplePos x="0" y="0"/>
                <wp:positionH relativeFrom="column">
                  <wp:posOffset>-47625</wp:posOffset>
                </wp:positionH>
                <wp:positionV relativeFrom="paragraph">
                  <wp:posOffset>156210</wp:posOffset>
                </wp:positionV>
                <wp:extent cx="2472690" cy="1263650"/>
                <wp:effectExtent l="4445" t="4445" r="12065" b="14605"/>
                <wp:wrapNone/>
                <wp:docPr id="15" name="文本框 15"/>
                <wp:cNvGraphicFramePr/>
                <a:graphic xmlns:a="http://schemas.openxmlformats.org/drawingml/2006/main">
                  <a:graphicData uri="http://schemas.microsoft.com/office/word/2010/wordprocessingShape">
                    <wps:wsp>
                      <wps:cNvSpPr txBox="1"/>
                      <wps:spPr>
                        <a:xfrm>
                          <a:off x="0" y="0"/>
                          <a:ext cx="2472690" cy="1263650"/>
                        </a:xfrm>
                        <a:prstGeom prst="rect">
                          <a:avLst/>
                        </a:prstGeom>
                        <a:solidFill>
                          <a:srgbClr val="FFFFFF"/>
                        </a:solidFill>
                        <a:ln w="9525" cap="rnd" cmpd="sng">
                          <a:solidFill>
                            <a:srgbClr val="000000"/>
                          </a:solidFill>
                          <a:prstDash val="sysDot"/>
                          <a:miter/>
                          <a:headEnd type="none" w="med" len="med"/>
                          <a:tailEnd type="none" w="med" len="med"/>
                        </a:ln>
                      </wps:spPr>
                      <wps:txbx>
                        <w:txbxContent>
                          <w:p>
                            <w:pPr>
                              <w:ind w:left="140" w:hanging="140"/>
                              <w:jc w:val="center"/>
                              <w:rPr>
                                <w:sz w:val="28"/>
                                <w:szCs w:val="28"/>
                              </w:rPr>
                            </w:pPr>
                            <w:r>
                              <w:rPr>
                                <w:rFonts w:hint="eastAsia"/>
                                <w:sz w:val="28"/>
                                <w:szCs w:val="28"/>
                              </w:rPr>
                              <w:t>法人身份证复印件正面</w:t>
                            </w:r>
                          </w:p>
                        </w:txbxContent>
                      </wps:txbx>
                      <wps:bodyPr upright="1"/>
                    </wps:wsp>
                  </a:graphicData>
                </a:graphic>
              </wp:anchor>
            </w:drawing>
          </mc:Choice>
          <mc:Fallback>
            <w:pict>
              <v:shape id="_x0000_s1026" o:spid="_x0000_s1026" o:spt="202" type="#_x0000_t202" style="position:absolute;left:0pt;margin-left:-3.75pt;margin-top:12.3pt;height:99.5pt;width:194.7pt;z-index:251658240;mso-width-relative:page;mso-height-relative:page;" fillcolor="#FFFFFF" filled="t" stroked="t" coordsize="21600,21600" o:gfxdata="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qR5xdoAAAAJAQAADwAAAAAAAAABACAAAAAiAAAAZHJzL2Rvd25yZXYueG1s&#10;UEsBAhQAFAAAAAgAh07iQBtImN72AQAA6wMAAA4AAAAAAAAAAQAgAAAAKQEAAGRycy9lMm9Eb2Mu&#10;eG1sUEsFBgAAAAAGAAYAWQEAAJEFAAAAAA==&#10;">
                <v:fill on="t" focussize="0,0"/>
                <v:stroke color="#000000" joinstyle="miter" dashstyle="1 1" endcap="round"/>
                <v:imagedata o:title=""/>
                <o:lock v:ext="edit" aspectratio="f"/>
                <v:textbox>
                  <w:txbxContent>
                    <w:p>
                      <w:pPr>
                        <w:ind w:left="140" w:hanging="140"/>
                        <w:jc w:val="center"/>
                        <w:rPr>
                          <w:sz w:val="28"/>
                          <w:szCs w:val="28"/>
                        </w:rPr>
                      </w:pPr>
                      <w:r>
                        <w:rPr>
                          <w:rFonts w:hint="eastAsia"/>
                          <w:sz w:val="28"/>
                          <w:szCs w:val="28"/>
                        </w:rPr>
                        <w:t>法人身份证复印件正面</w:t>
                      </w:r>
                    </w:p>
                  </w:txbxContent>
                </v:textbox>
              </v:shape>
            </w:pict>
          </mc:Fallback>
        </mc:AlternateConten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bCs/>
          <w:sz w:val="24"/>
        </w:rPr>
        <mc:AlternateContent>
          <mc:Choice Requires="wps">
            <w:drawing>
              <wp:anchor distT="0" distB="0" distL="114300" distR="114300" simplePos="0" relativeHeight="251661312" behindDoc="0" locked="0" layoutInCell="1" allowOverlap="1">
                <wp:simplePos x="0" y="0"/>
                <wp:positionH relativeFrom="column">
                  <wp:posOffset>2807335</wp:posOffset>
                </wp:positionH>
                <wp:positionV relativeFrom="paragraph">
                  <wp:posOffset>151130</wp:posOffset>
                </wp:positionV>
                <wp:extent cx="2472690" cy="1263650"/>
                <wp:effectExtent l="4445" t="4445" r="12065" b="14605"/>
                <wp:wrapNone/>
                <wp:docPr id="4" name="文本框 4"/>
                <wp:cNvGraphicFramePr/>
                <a:graphic xmlns:a="http://schemas.openxmlformats.org/drawingml/2006/main">
                  <a:graphicData uri="http://schemas.microsoft.com/office/word/2010/wordprocessingShape">
                    <wps:wsp>
                      <wps:cNvSpPr txBox="1"/>
                      <wps:spPr>
                        <a:xfrm>
                          <a:off x="0" y="0"/>
                          <a:ext cx="2472690" cy="1263650"/>
                        </a:xfrm>
                        <a:prstGeom prst="rect">
                          <a:avLst/>
                        </a:prstGeom>
                        <a:solidFill>
                          <a:srgbClr val="FFFFFF"/>
                        </a:solidFill>
                        <a:ln w="9525" cap="rnd" cmpd="sng">
                          <a:solidFill>
                            <a:srgbClr val="000000"/>
                          </a:solidFill>
                          <a:prstDash val="sysDot"/>
                          <a:miter/>
                          <a:headEnd type="none" w="med" len="med"/>
                          <a:tailEnd type="none" w="med" len="med"/>
                        </a:ln>
                      </wps:spPr>
                      <wps:txbx>
                        <w:txbxContent>
                          <w:p>
                            <w:pPr>
                              <w:ind w:left="140" w:hanging="140"/>
                              <w:jc w:val="center"/>
                              <w:rPr>
                                <w:sz w:val="28"/>
                                <w:szCs w:val="28"/>
                              </w:rPr>
                            </w:pPr>
                            <w:r>
                              <w:rPr>
                                <w:rFonts w:hint="eastAsia"/>
                                <w:sz w:val="28"/>
                                <w:szCs w:val="28"/>
                              </w:rPr>
                              <w:t>被委托人身份证复印件背面</w:t>
                            </w:r>
                          </w:p>
                        </w:txbxContent>
                      </wps:txbx>
                      <wps:bodyPr upright="1"/>
                    </wps:wsp>
                  </a:graphicData>
                </a:graphic>
              </wp:anchor>
            </w:drawing>
          </mc:Choice>
          <mc:Fallback>
            <w:pict>
              <v:shape id="_x0000_s1026" o:spid="_x0000_s1026" o:spt="202" type="#_x0000_t202" style="position:absolute;left:0pt;margin-left:221.05pt;margin-top:11.9pt;height:99.5pt;width:194.7pt;z-index:251661312;mso-width-relative:page;mso-height-relative:page;" fillcolor="#FFFFFF" filled="t" stroked="t" coordsize="21600,21600" o:gfxdata="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1d/CdoAAAAKAQAADwAAAAAAAAABACAAAAAiAAAAZHJzL2Rvd25yZXYueG1s&#10;UEsBAhQAFAAAAAgAh07iQDHVBfT2AQAA6QMAAA4AAAAAAAAAAQAgAAAAKQEAAGRycy9lMm9Eb2Mu&#10;eG1sUEsFBgAAAAAGAAYAWQEAAJEFAAAAAA==&#10;">
                <v:fill on="t" focussize="0,0"/>
                <v:stroke color="#000000" joinstyle="miter" dashstyle="1 1" endcap="round"/>
                <v:imagedata o:title=""/>
                <o:lock v:ext="edit" aspectratio="f"/>
                <v:textbox>
                  <w:txbxContent>
                    <w:p>
                      <w:pPr>
                        <w:ind w:left="140" w:hanging="140"/>
                        <w:jc w:val="center"/>
                        <w:rPr>
                          <w:sz w:val="28"/>
                          <w:szCs w:val="28"/>
                        </w:rPr>
                      </w:pPr>
                      <w:r>
                        <w:rPr>
                          <w:rFonts w:hint="eastAsia"/>
                          <w:sz w:val="28"/>
                          <w:szCs w:val="28"/>
                        </w:rPr>
                        <w:t>被委托人身份证复印件背面</w:t>
                      </w:r>
                    </w:p>
                  </w:txbxContent>
                </v:textbox>
              </v:shape>
            </w:pict>
          </mc:Fallback>
        </mc:AlternateContent>
      </w:r>
      <w:r>
        <w:rPr>
          <w:rFonts w:hint="eastAsia" w:ascii="宋体" w:hAnsi="宋体" w:cs="宋体"/>
          <w:bCs/>
          <w:sz w:val="24"/>
        </w:rPr>
        <mc:AlternateContent>
          <mc:Choice Requires="wps">
            <w:drawing>
              <wp:anchor distT="0" distB="0" distL="114300" distR="114300" simplePos="0" relativeHeight="251660288" behindDoc="0" locked="0" layoutInCell="1" allowOverlap="1">
                <wp:simplePos x="0" y="0"/>
                <wp:positionH relativeFrom="column">
                  <wp:posOffset>-49530</wp:posOffset>
                </wp:positionH>
                <wp:positionV relativeFrom="paragraph">
                  <wp:posOffset>145415</wp:posOffset>
                </wp:positionV>
                <wp:extent cx="2472690" cy="1263650"/>
                <wp:effectExtent l="4445" t="4445" r="12065" b="14605"/>
                <wp:wrapNone/>
                <wp:docPr id="5" name="文本框 5"/>
                <wp:cNvGraphicFramePr/>
                <a:graphic xmlns:a="http://schemas.openxmlformats.org/drawingml/2006/main">
                  <a:graphicData uri="http://schemas.microsoft.com/office/word/2010/wordprocessingShape">
                    <wps:wsp>
                      <wps:cNvSpPr txBox="1"/>
                      <wps:spPr>
                        <a:xfrm>
                          <a:off x="0" y="0"/>
                          <a:ext cx="2472690" cy="1263650"/>
                        </a:xfrm>
                        <a:prstGeom prst="rect">
                          <a:avLst/>
                        </a:prstGeom>
                        <a:solidFill>
                          <a:srgbClr val="FFFFFF"/>
                        </a:solidFill>
                        <a:ln w="9525" cap="rnd" cmpd="sng">
                          <a:solidFill>
                            <a:srgbClr val="000000"/>
                          </a:solidFill>
                          <a:prstDash val="sysDot"/>
                          <a:miter/>
                          <a:headEnd type="none" w="med" len="med"/>
                          <a:tailEnd type="none" w="med" len="med"/>
                        </a:ln>
                      </wps:spPr>
                      <wps:txbx>
                        <w:txbxContent>
                          <w:p>
                            <w:pPr>
                              <w:ind w:left="140" w:hanging="140"/>
                              <w:jc w:val="center"/>
                              <w:rPr>
                                <w:sz w:val="28"/>
                                <w:szCs w:val="28"/>
                              </w:rPr>
                            </w:pPr>
                            <w:r>
                              <w:rPr>
                                <w:rFonts w:hint="eastAsia"/>
                                <w:sz w:val="28"/>
                                <w:szCs w:val="28"/>
                              </w:rPr>
                              <w:t>被委托人身份证复印件正面</w:t>
                            </w:r>
                          </w:p>
                        </w:txbxContent>
                      </wps:txbx>
                      <wps:bodyPr upright="1"/>
                    </wps:wsp>
                  </a:graphicData>
                </a:graphic>
              </wp:anchor>
            </w:drawing>
          </mc:Choice>
          <mc:Fallback>
            <w:pict>
              <v:shape id="_x0000_s1026" o:spid="_x0000_s1026" o:spt="202" type="#_x0000_t202" style="position:absolute;left:0pt;margin-left:-3.9pt;margin-top:11.45pt;height:99.5pt;width:194.7pt;z-index:251660288;mso-width-relative:page;mso-height-relative:page;" fillcolor="#FFFFFF" filled="t" stroked="t" coordsize="21600,21600" o:gfxdata="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cSXFq2QAAAAkBAAAPAAAAAAAAAAEAIAAAACIAAABkcnMvZG93bnJldi54bWxQ&#10;SwECFAAUAAAACACHTuJAjXekH/YBAADpAwAADgAAAAAAAAABACAAAAAoAQAAZHJzL2Uyb0RvYy54&#10;bWxQSwUGAAAAAAYABgBZAQAAkAUAAAAA&#10;">
                <v:fill on="t" focussize="0,0"/>
                <v:stroke color="#000000" joinstyle="miter" dashstyle="1 1" endcap="round"/>
                <v:imagedata o:title=""/>
                <o:lock v:ext="edit" aspectratio="f"/>
                <v:textbox>
                  <w:txbxContent>
                    <w:p>
                      <w:pPr>
                        <w:ind w:left="140" w:hanging="140"/>
                        <w:jc w:val="center"/>
                        <w:rPr>
                          <w:sz w:val="28"/>
                          <w:szCs w:val="28"/>
                        </w:rPr>
                      </w:pPr>
                      <w:r>
                        <w:rPr>
                          <w:rFonts w:hint="eastAsia"/>
                          <w:sz w:val="28"/>
                          <w:szCs w:val="28"/>
                        </w:rPr>
                        <w:t>被委托人身份证复印件正面</w:t>
                      </w:r>
                    </w:p>
                  </w:txbxContent>
                </v:textbox>
              </v:shape>
            </w:pict>
          </mc:Fallback>
        </mc:AlternateConten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 xml:space="preserve">投标人名称：（盖章）                               </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 xml:space="preserve">法定代表人：（签章）                                  </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被委托人：（签字）</w:t>
      </w:r>
    </w:p>
    <w:p>
      <w:pPr>
        <w:autoSpaceDE w:val="0"/>
        <w:autoSpaceDN w:val="0"/>
        <w:adjustRightInd w:val="0"/>
        <w:spacing w:line="320" w:lineRule="exact"/>
        <w:ind w:left="120" w:hanging="120"/>
        <w:rPr>
          <w:rFonts w:ascii="宋体" w:hAnsi="宋体" w:cs="宋体"/>
          <w:b/>
          <w:bCs/>
          <w:sz w:val="24"/>
          <w:lang w:val="zh-CN"/>
        </w:rPr>
      </w:pPr>
    </w:p>
    <w:p>
      <w:pPr>
        <w:autoSpaceDE w:val="0"/>
        <w:autoSpaceDN w:val="0"/>
        <w:adjustRightInd w:val="0"/>
        <w:spacing w:line="320" w:lineRule="exact"/>
        <w:ind w:left="120" w:hanging="120"/>
        <w:jc w:val="center"/>
        <w:outlineLvl w:val="0"/>
        <w:rPr>
          <w:rFonts w:ascii="宋体" w:hAnsi="宋体" w:cs="宋体"/>
          <w:sz w:val="24"/>
          <w:lang w:val="zh-CN"/>
        </w:rPr>
      </w:pPr>
      <w:bookmarkStart w:id="43" w:name="_Toc25992"/>
      <w:r>
        <w:rPr>
          <w:rFonts w:hint="eastAsia" w:ascii="宋体" w:hAnsi="宋体" w:cs="宋体"/>
          <w:sz w:val="24"/>
          <w:lang w:val="zh-CN"/>
        </w:rPr>
        <w:t>日期：</w:t>
      </w: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bookmarkEnd w:id="43"/>
    </w:p>
    <w:p>
      <w:pPr>
        <w:autoSpaceDE w:val="0"/>
        <w:autoSpaceDN w:val="0"/>
        <w:adjustRightInd w:val="0"/>
        <w:spacing w:line="320" w:lineRule="exact"/>
        <w:ind w:left="120" w:hanging="120"/>
        <w:jc w:val="center"/>
        <w:rPr>
          <w:rFonts w:ascii="宋体" w:hAnsi="宋体" w:cs="宋体"/>
          <w:sz w:val="24"/>
          <w:lang w:val="zh-CN"/>
        </w:rPr>
      </w:pPr>
    </w:p>
    <w:p>
      <w:pPr>
        <w:autoSpaceDE w:val="0"/>
        <w:autoSpaceDN w:val="0"/>
        <w:adjustRightInd w:val="0"/>
        <w:ind w:left="120" w:hanging="120"/>
        <w:jc w:val="center"/>
        <w:rPr>
          <w:rFonts w:ascii="宋体" w:hAnsi="宋体" w:cs="宋体"/>
          <w:sz w:val="24"/>
          <w:lang w:val="zh-CN"/>
        </w:rPr>
      </w:pPr>
    </w:p>
    <w:p>
      <w:pPr>
        <w:pStyle w:val="4"/>
        <w:spacing w:line="240" w:lineRule="auto"/>
        <w:ind w:left="120" w:hanging="120"/>
        <w:rPr>
          <w:rFonts w:ascii="宋体" w:hAnsi="宋体" w:cs="宋体"/>
          <w:sz w:val="24"/>
          <w:szCs w:val="24"/>
        </w:rPr>
      </w:pPr>
      <w:r>
        <w:rPr>
          <w:rFonts w:hint="eastAsia" w:ascii="宋体" w:hAnsi="宋体" w:cs="宋体"/>
          <w:color w:val="000000"/>
          <w:sz w:val="24"/>
          <w:szCs w:val="24"/>
        </w:rPr>
        <w:t>6、近三年受托类似项目业绩表及相关证明</w:t>
      </w:r>
    </w:p>
    <w:p>
      <w:pPr>
        <w:autoSpaceDE w:val="0"/>
        <w:autoSpaceDN w:val="0"/>
        <w:adjustRightInd w:val="0"/>
        <w:ind w:left="120" w:hanging="120"/>
        <w:outlineLvl w:val="0"/>
        <w:rPr>
          <w:rFonts w:ascii="宋体" w:hAnsi="宋体" w:cs="宋体"/>
          <w:b/>
          <w:bCs/>
          <w:sz w:val="24"/>
        </w:rPr>
      </w:pPr>
      <w:bookmarkStart w:id="44" w:name="_Toc31818"/>
      <w:r>
        <w:rPr>
          <w:rFonts w:hint="eastAsia" w:ascii="宋体" w:hAnsi="宋体" w:cs="宋体"/>
          <w:b/>
          <w:bCs/>
          <w:sz w:val="24"/>
        </w:rPr>
        <w:t>6.1 近三年受托类似项目情况表</w:t>
      </w:r>
      <w:bookmarkEnd w:id="44"/>
    </w:p>
    <w:tbl>
      <w:tblPr>
        <w:tblStyle w:val="70"/>
        <w:tblW w:w="9513" w:type="dxa"/>
        <w:tblInd w:w="93" w:type="dxa"/>
        <w:tblLayout w:type="fixed"/>
        <w:tblCellMar>
          <w:top w:w="0" w:type="dxa"/>
          <w:left w:w="108" w:type="dxa"/>
          <w:bottom w:w="0" w:type="dxa"/>
          <w:right w:w="108" w:type="dxa"/>
        </w:tblCellMar>
      </w:tblPr>
      <w:tblGrid>
        <w:gridCol w:w="640"/>
        <w:gridCol w:w="2079"/>
        <w:gridCol w:w="3533"/>
        <w:gridCol w:w="1027"/>
        <w:gridCol w:w="674"/>
        <w:gridCol w:w="1307"/>
        <w:gridCol w:w="253"/>
      </w:tblGrid>
      <w:tr>
        <w:tblPrEx>
          <w:tblCellMar>
            <w:top w:w="0" w:type="dxa"/>
            <w:left w:w="108" w:type="dxa"/>
            <w:bottom w:w="0" w:type="dxa"/>
            <w:right w:w="108" w:type="dxa"/>
          </w:tblCellMar>
        </w:tblPrEx>
        <w:trPr>
          <w:trHeight w:val="750" w:hRule="atLeast"/>
        </w:trPr>
        <w:tc>
          <w:tcPr>
            <w:tcW w:w="6252" w:type="dxa"/>
            <w:gridSpan w:val="3"/>
            <w:tcBorders>
              <w:top w:val="nil"/>
              <w:left w:val="nil"/>
              <w:bottom w:val="nil"/>
              <w:right w:val="nil"/>
            </w:tcBorders>
            <w:vAlign w:val="bottom"/>
          </w:tcPr>
          <w:p>
            <w:pPr>
              <w:widowControl/>
              <w:ind w:left="120" w:hanging="120"/>
              <w:rPr>
                <w:rFonts w:ascii="宋体" w:hAnsi="宋体" w:cs="宋体"/>
                <w:sz w:val="24"/>
              </w:rPr>
            </w:pPr>
            <w:r>
              <w:rPr>
                <w:rFonts w:hint="eastAsia" w:ascii="宋体" w:hAnsi="宋体" w:cs="宋体"/>
                <w:sz w:val="24"/>
              </w:rPr>
              <w:t>投标单位名称：</w:t>
            </w:r>
          </w:p>
        </w:tc>
        <w:tc>
          <w:tcPr>
            <w:tcW w:w="1701" w:type="dxa"/>
            <w:gridSpan w:val="2"/>
            <w:tcBorders>
              <w:top w:val="nil"/>
              <w:left w:val="nil"/>
              <w:bottom w:val="nil"/>
              <w:right w:val="nil"/>
            </w:tcBorders>
            <w:vAlign w:val="bottom"/>
          </w:tcPr>
          <w:p>
            <w:pPr>
              <w:widowControl/>
              <w:ind w:left="120" w:hanging="120"/>
              <w:rPr>
                <w:rFonts w:ascii="宋体" w:hAnsi="宋体" w:cs="宋体"/>
                <w:sz w:val="24"/>
              </w:rPr>
            </w:pPr>
          </w:p>
        </w:tc>
        <w:tc>
          <w:tcPr>
            <w:tcW w:w="1560" w:type="dxa"/>
            <w:gridSpan w:val="2"/>
            <w:tcBorders>
              <w:top w:val="nil"/>
              <w:left w:val="nil"/>
              <w:bottom w:val="nil"/>
              <w:right w:val="nil"/>
            </w:tcBorders>
            <w:vAlign w:val="bottom"/>
          </w:tcPr>
          <w:p>
            <w:pPr>
              <w:widowControl/>
              <w:ind w:left="120" w:hanging="120"/>
              <w:jc w:val="center"/>
              <w:rPr>
                <w:rFonts w:ascii="宋体" w:hAnsi="宋体" w:cs="宋体"/>
                <w:sz w:val="24"/>
              </w:rPr>
            </w:pPr>
            <w:r>
              <w:rPr>
                <w:rFonts w:hint="eastAsia" w:ascii="宋体" w:hAnsi="宋体" w:cs="宋体"/>
                <w:sz w:val="24"/>
              </w:rPr>
              <w:t>单位：万元</w:t>
            </w:r>
          </w:p>
        </w:tc>
      </w:tr>
      <w:tr>
        <w:tblPrEx>
          <w:tblCellMar>
            <w:top w:w="0" w:type="dxa"/>
            <w:left w:w="108" w:type="dxa"/>
            <w:bottom w:w="0" w:type="dxa"/>
            <w:right w:w="108" w:type="dxa"/>
          </w:tblCellMar>
        </w:tblPrEx>
        <w:trPr>
          <w:trHeight w:val="1005" w:hRule="atLeast"/>
        </w:trPr>
        <w:tc>
          <w:tcPr>
            <w:tcW w:w="640" w:type="dxa"/>
            <w:tcBorders>
              <w:top w:val="single" w:color="auto" w:sz="4" w:space="0"/>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序号</w:t>
            </w:r>
          </w:p>
        </w:tc>
        <w:tc>
          <w:tcPr>
            <w:tcW w:w="2079" w:type="dxa"/>
            <w:tcBorders>
              <w:top w:val="single" w:color="auto" w:sz="4" w:space="0"/>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b/>
                <w:bCs/>
                <w:sz w:val="24"/>
              </w:rPr>
              <w:t>近三年受托类似项目</w:t>
            </w:r>
          </w:p>
        </w:tc>
        <w:tc>
          <w:tcPr>
            <w:tcW w:w="4560" w:type="dxa"/>
            <w:gridSpan w:val="2"/>
            <w:tcBorders>
              <w:top w:val="single" w:color="auto" w:sz="4" w:space="0"/>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委托单位</w:t>
            </w:r>
          </w:p>
        </w:tc>
        <w:tc>
          <w:tcPr>
            <w:tcW w:w="2234" w:type="dxa"/>
            <w:gridSpan w:val="3"/>
            <w:tcBorders>
              <w:top w:val="single" w:color="auto" w:sz="4" w:space="0"/>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备注</w:t>
            </w:r>
          </w:p>
        </w:tc>
      </w:tr>
      <w:tr>
        <w:tblPrEx>
          <w:tblCellMar>
            <w:top w:w="0" w:type="dxa"/>
            <w:left w:w="108" w:type="dxa"/>
            <w:bottom w:w="0" w:type="dxa"/>
            <w:right w:w="108" w:type="dxa"/>
          </w:tblCellMar>
        </w:tblPrEx>
        <w:trPr>
          <w:trHeight w:val="661"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1</w:t>
            </w:r>
          </w:p>
        </w:tc>
        <w:tc>
          <w:tcPr>
            <w:tcW w:w="2079" w:type="dxa"/>
            <w:tcBorders>
              <w:top w:val="nil"/>
              <w:left w:val="nil"/>
              <w:bottom w:val="single" w:color="auto" w:sz="4" w:space="0"/>
              <w:right w:val="single" w:color="auto" w:sz="4" w:space="0"/>
            </w:tcBorders>
            <w:vAlign w:val="center"/>
          </w:tcPr>
          <w:p>
            <w:pPr>
              <w:widowControl/>
              <w:ind w:left="120" w:hanging="120"/>
              <w:rPr>
                <w:rFonts w:ascii="宋体" w:hAnsi="宋体" w:cs="宋体"/>
                <w:sz w:val="24"/>
              </w:rPr>
            </w:pPr>
            <w:r>
              <w:rPr>
                <w:rFonts w:hint="eastAsia" w:ascii="宋体" w:hAnsi="宋体" w:cs="宋体"/>
                <w:sz w:val="24"/>
              </w:rPr>
              <w:t>　</w:t>
            </w: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r>
      <w:tr>
        <w:tblPrEx>
          <w:tblCellMar>
            <w:top w:w="0" w:type="dxa"/>
            <w:left w:w="108" w:type="dxa"/>
            <w:bottom w:w="0" w:type="dxa"/>
            <w:right w:w="108" w:type="dxa"/>
          </w:tblCellMar>
        </w:tblPrEx>
        <w:trPr>
          <w:trHeight w:val="557"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2</w:t>
            </w: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r>
      <w:tr>
        <w:tblPrEx>
          <w:tblCellMar>
            <w:top w:w="0" w:type="dxa"/>
            <w:left w:w="108" w:type="dxa"/>
            <w:bottom w:w="0" w:type="dxa"/>
            <w:right w:w="108" w:type="dxa"/>
          </w:tblCellMar>
        </w:tblPrEx>
        <w:trPr>
          <w:trHeight w:val="693"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3</w:t>
            </w: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r>
      <w:tr>
        <w:tblPrEx>
          <w:tblCellMar>
            <w:top w:w="0" w:type="dxa"/>
            <w:left w:w="108" w:type="dxa"/>
            <w:bottom w:w="0" w:type="dxa"/>
            <w:right w:w="108" w:type="dxa"/>
          </w:tblCellMar>
        </w:tblPrEx>
        <w:trPr>
          <w:trHeight w:val="56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4</w:t>
            </w: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5</w:t>
            </w: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r>
      <w:tr>
        <w:tblPrEx>
          <w:tblCellMar>
            <w:top w:w="0" w:type="dxa"/>
            <w:left w:w="108" w:type="dxa"/>
            <w:bottom w:w="0" w:type="dxa"/>
            <w:right w:w="108" w:type="dxa"/>
          </w:tblCellMar>
        </w:tblPrEx>
        <w:trPr>
          <w:gridAfter w:val="1"/>
          <w:wAfter w:w="253" w:type="dxa"/>
          <w:trHeight w:val="585" w:hRule="atLeast"/>
        </w:trPr>
        <w:tc>
          <w:tcPr>
            <w:tcW w:w="9260" w:type="dxa"/>
            <w:gridSpan w:val="6"/>
            <w:tcBorders>
              <w:top w:val="single" w:color="auto" w:sz="4" w:space="0"/>
              <w:left w:val="nil"/>
              <w:bottom w:val="nil"/>
              <w:right w:val="nil"/>
            </w:tcBorders>
            <w:vAlign w:val="bottom"/>
          </w:tcPr>
          <w:p>
            <w:pPr>
              <w:widowControl/>
              <w:ind w:left="120" w:hanging="120"/>
              <w:rPr>
                <w:rFonts w:ascii="宋体" w:hAnsi="宋体" w:cs="宋体"/>
                <w:sz w:val="24"/>
              </w:rPr>
            </w:pPr>
            <w:r>
              <w:rPr>
                <w:rFonts w:hint="eastAsia" w:ascii="宋体" w:hAnsi="宋体" w:cs="宋体"/>
                <w:sz w:val="24"/>
              </w:rPr>
              <w:t>说明：</w:t>
            </w:r>
          </w:p>
          <w:p>
            <w:pPr>
              <w:widowControl/>
              <w:ind w:left="120" w:hanging="120"/>
              <w:rPr>
                <w:rFonts w:hint="default" w:ascii="宋体" w:hAnsi="宋体" w:eastAsia="宋体" w:cs="宋体"/>
                <w:sz w:val="24"/>
                <w:lang w:val="en-US" w:eastAsia="zh-CN"/>
              </w:rPr>
            </w:pPr>
            <w:r>
              <w:rPr>
                <w:rFonts w:hint="eastAsia" w:ascii="宋体" w:hAnsi="宋体" w:cs="宋体"/>
                <w:sz w:val="24"/>
              </w:rPr>
              <w:t>要求附项目的合同的复印件加盖公章</w:t>
            </w:r>
          </w:p>
        </w:tc>
      </w:tr>
      <w:tr>
        <w:tblPrEx>
          <w:tblCellMar>
            <w:top w:w="0" w:type="dxa"/>
            <w:left w:w="108" w:type="dxa"/>
            <w:bottom w:w="0" w:type="dxa"/>
            <w:right w:w="108" w:type="dxa"/>
          </w:tblCellMar>
        </w:tblPrEx>
        <w:trPr>
          <w:gridAfter w:val="1"/>
          <w:wAfter w:w="253" w:type="dxa"/>
          <w:trHeight w:val="585" w:hRule="atLeast"/>
        </w:trPr>
        <w:tc>
          <w:tcPr>
            <w:tcW w:w="9260" w:type="dxa"/>
            <w:gridSpan w:val="6"/>
            <w:tcBorders>
              <w:top w:val="nil"/>
              <w:left w:val="nil"/>
              <w:bottom w:val="nil"/>
              <w:right w:val="nil"/>
            </w:tcBorders>
            <w:vAlign w:val="bottom"/>
          </w:tcPr>
          <w:p>
            <w:pPr>
              <w:widowControl/>
              <w:ind w:left="120" w:hanging="120"/>
              <w:rPr>
                <w:rFonts w:ascii="宋体" w:hAnsi="宋体" w:cs="宋体"/>
                <w:sz w:val="24"/>
              </w:rPr>
            </w:pPr>
          </w:p>
        </w:tc>
      </w:tr>
      <w:tr>
        <w:tblPrEx>
          <w:tblCellMar>
            <w:top w:w="0" w:type="dxa"/>
            <w:left w:w="108" w:type="dxa"/>
            <w:bottom w:w="0" w:type="dxa"/>
            <w:right w:w="108" w:type="dxa"/>
          </w:tblCellMar>
        </w:tblPrEx>
        <w:trPr>
          <w:gridAfter w:val="1"/>
          <w:wAfter w:w="253" w:type="dxa"/>
          <w:trHeight w:val="1890" w:hRule="atLeast"/>
        </w:trPr>
        <w:tc>
          <w:tcPr>
            <w:tcW w:w="9260" w:type="dxa"/>
            <w:gridSpan w:val="6"/>
            <w:tcBorders>
              <w:top w:val="nil"/>
              <w:left w:val="nil"/>
              <w:bottom w:val="nil"/>
              <w:right w:val="nil"/>
            </w:tcBorders>
            <w:vAlign w:val="center"/>
          </w:tcPr>
          <w:p>
            <w:pPr>
              <w:widowControl/>
              <w:ind w:left="120" w:hanging="120"/>
              <w:rPr>
                <w:rFonts w:ascii="宋体" w:hAnsi="宋体" w:cs="宋体"/>
                <w:sz w:val="24"/>
              </w:rPr>
            </w:pPr>
            <w:r>
              <w:rPr>
                <w:rFonts w:hint="eastAsia" w:ascii="宋体" w:hAnsi="宋体" w:cs="宋体"/>
                <w:sz w:val="24"/>
              </w:rPr>
              <w:t>投标单位（签章）：                         法定代表人（签字）：</w:t>
            </w:r>
          </w:p>
        </w:tc>
      </w:tr>
    </w:tbl>
    <w:p>
      <w:pPr>
        <w:ind w:left="120" w:hanging="120"/>
        <w:rPr>
          <w:rFonts w:ascii="宋体" w:hAnsi="宋体" w:cs="宋体"/>
          <w:b/>
          <w:color w:val="000000"/>
          <w:kern w:val="0"/>
          <w:sz w:val="24"/>
          <w:lang w:bidi="ar"/>
        </w:rPr>
      </w:pPr>
    </w:p>
    <w:p>
      <w:pPr>
        <w:ind w:left="120" w:hanging="120"/>
        <w:rPr>
          <w:rFonts w:ascii="宋体" w:hAnsi="宋体" w:cs="宋体"/>
          <w:b/>
          <w:color w:val="000000"/>
          <w:kern w:val="0"/>
          <w:sz w:val="24"/>
          <w:lang w:bidi="ar"/>
        </w:rPr>
      </w:pPr>
    </w:p>
    <w:p>
      <w:pPr>
        <w:autoSpaceDE w:val="0"/>
        <w:autoSpaceDN w:val="0"/>
        <w:adjustRightInd w:val="0"/>
        <w:ind w:left="120" w:hanging="120"/>
        <w:jc w:val="center"/>
        <w:rPr>
          <w:rFonts w:ascii="宋体" w:hAnsi="宋体" w:cs="宋体"/>
          <w:b/>
          <w:bCs/>
          <w:sz w:val="24"/>
          <w:lang w:val="zh-CN"/>
        </w:rPr>
      </w:pPr>
      <w:r>
        <w:rPr>
          <w:rFonts w:hint="eastAsia" w:ascii="宋体" w:hAnsi="宋体" w:cs="宋体"/>
          <w:b/>
          <w:bCs/>
          <w:sz w:val="24"/>
        </w:rPr>
        <w:t>7.</w:t>
      </w:r>
      <w:r>
        <w:rPr>
          <w:rFonts w:hint="eastAsia" w:ascii="宋体" w:hAnsi="宋体" w:cs="宋体"/>
          <w:b/>
          <w:bCs/>
          <w:sz w:val="24"/>
          <w:lang w:val="zh-CN"/>
        </w:rPr>
        <w:t>项目负责人简历表</w:t>
      </w:r>
    </w:p>
    <w:p>
      <w:pPr>
        <w:autoSpaceDE w:val="0"/>
        <w:autoSpaceDN w:val="0"/>
        <w:adjustRightInd w:val="0"/>
        <w:ind w:left="120" w:hanging="120"/>
        <w:jc w:val="center"/>
        <w:rPr>
          <w:rFonts w:ascii="宋体" w:hAnsi="宋体" w:cs="宋体"/>
          <w:sz w:val="24"/>
          <w:lang w:val="zh-CN"/>
        </w:rPr>
      </w:pPr>
    </w:p>
    <w:p>
      <w:pPr>
        <w:autoSpaceDE w:val="0"/>
        <w:autoSpaceDN w:val="0"/>
        <w:adjustRightInd w:val="0"/>
        <w:ind w:left="120" w:hanging="120"/>
        <w:jc w:val="center"/>
        <w:rPr>
          <w:rFonts w:ascii="宋体" w:hAnsi="宋体" w:cs="宋体"/>
          <w:sz w:val="24"/>
          <w:lang w:val="zh-CN"/>
        </w:rPr>
      </w:pPr>
      <w:r>
        <w:rPr>
          <w:rFonts w:hint="eastAsia" w:ascii="宋体" w:hAnsi="宋体" w:cs="宋体"/>
          <w:sz w:val="24"/>
          <w:lang w:val="zh-CN"/>
        </w:rPr>
        <w:t>（1）</w:t>
      </w:r>
      <w:r>
        <w:rPr>
          <w:rFonts w:hint="eastAsia" w:ascii="宋体" w:hAnsi="宋体" w:cs="宋体"/>
          <w:b/>
          <w:bCs/>
          <w:sz w:val="24"/>
          <w:lang w:val="zh-CN"/>
        </w:rPr>
        <w:t>项目负责人</w:t>
      </w:r>
      <w:r>
        <w:rPr>
          <w:rFonts w:hint="eastAsia" w:ascii="宋体" w:hAnsi="宋体" w:cs="宋体"/>
          <w:sz w:val="24"/>
          <w:lang w:val="zh-CN"/>
        </w:rPr>
        <w:t>简历及业绩表</w:t>
      </w:r>
    </w:p>
    <w:p>
      <w:pPr>
        <w:autoSpaceDE w:val="0"/>
        <w:autoSpaceDN w:val="0"/>
        <w:adjustRightInd w:val="0"/>
        <w:ind w:left="120" w:hanging="120"/>
        <w:jc w:val="center"/>
        <w:rPr>
          <w:rFonts w:ascii="宋体" w:hAnsi="宋体" w:cs="宋体"/>
          <w:b/>
          <w:bCs/>
          <w:sz w:val="24"/>
          <w:lang w:val="zh-CN"/>
        </w:rPr>
      </w:pPr>
    </w:p>
    <w:p>
      <w:pPr>
        <w:autoSpaceDE w:val="0"/>
        <w:autoSpaceDN w:val="0"/>
        <w:adjustRightInd w:val="0"/>
        <w:ind w:left="120" w:hanging="120"/>
        <w:rPr>
          <w:rFonts w:ascii="宋体" w:hAnsi="宋体" w:cs="宋体"/>
          <w:sz w:val="24"/>
          <w:lang w:val="zh-CN"/>
        </w:rPr>
      </w:pPr>
      <w:r>
        <w:rPr>
          <w:rFonts w:hint="eastAsia" w:ascii="宋体" w:hAnsi="宋体" w:cs="宋体"/>
          <w:sz w:val="24"/>
          <w:lang w:val="zh-CN"/>
        </w:rPr>
        <w:t>1、项目负责人介绍应包括：姓名、性别、年龄、职称、学历、参加工作时间、从</w:t>
      </w:r>
      <w:r>
        <w:rPr>
          <w:rFonts w:hint="eastAsia" w:ascii="宋体" w:hAnsi="宋体" w:cs="宋体"/>
          <w:sz w:val="24"/>
        </w:rPr>
        <w:t>业年限</w:t>
      </w:r>
      <w:r>
        <w:rPr>
          <w:rFonts w:hint="eastAsia" w:ascii="宋体" w:hAnsi="宋体" w:cs="宋体"/>
          <w:sz w:val="24"/>
          <w:lang w:val="zh-CN"/>
        </w:rPr>
        <w:t>、</w:t>
      </w:r>
      <w:r>
        <w:rPr>
          <w:rFonts w:hint="eastAsia" w:ascii="宋体" w:hAnsi="宋体" w:cs="宋体"/>
          <w:sz w:val="24"/>
          <w:lang w:val="en-US" w:eastAsia="zh-CN"/>
        </w:rPr>
        <w:t>职称</w:t>
      </w:r>
      <w:r>
        <w:rPr>
          <w:rFonts w:hint="eastAsia" w:ascii="宋体" w:hAnsi="宋体" w:cs="宋体"/>
          <w:sz w:val="24"/>
          <w:lang w:val="zh-CN"/>
        </w:rPr>
        <w:t>证书编号以及其他内容。</w:t>
      </w:r>
    </w:p>
    <w:p>
      <w:pPr>
        <w:autoSpaceDE w:val="0"/>
        <w:autoSpaceDN w:val="0"/>
        <w:adjustRightInd w:val="0"/>
        <w:ind w:left="120" w:hanging="120"/>
        <w:rPr>
          <w:rFonts w:ascii="宋体" w:hAnsi="宋体" w:cs="宋体"/>
          <w:sz w:val="24"/>
          <w:lang w:val="zh-CN"/>
        </w:rPr>
      </w:pPr>
      <w:r>
        <w:rPr>
          <w:rFonts w:hint="eastAsia" w:ascii="宋体" w:hAnsi="宋体" w:cs="宋体"/>
          <w:sz w:val="24"/>
          <w:lang w:val="zh-CN"/>
        </w:rPr>
        <w:t>2、项目负责人近3年内类似</w:t>
      </w:r>
      <w:r>
        <w:rPr>
          <w:rFonts w:hint="eastAsia" w:ascii="宋体" w:hAnsi="宋体" w:cs="宋体"/>
          <w:sz w:val="24"/>
        </w:rPr>
        <w:t>从业</w:t>
      </w:r>
      <w:r>
        <w:rPr>
          <w:rFonts w:hint="eastAsia" w:ascii="宋体" w:hAnsi="宋体" w:cs="宋体"/>
          <w:sz w:val="24"/>
          <w:lang w:val="zh-CN"/>
        </w:rPr>
        <w:t>经历应按下表提供。</w:t>
      </w:r>
    </w:p>
    <w:p>
      <w:pPr>
        <w:autoSpaceDE w:val="0"/>
        <w:autoSpaceDN w:val="0"/>
        <w:adjustRightInd w:val="0"/>
        <w:ind w:left="120" w:hanging="120"/>
        <w:jc w:val="center"/>
        <w:outlineLvl w:val="0"/>
        <w:rPr>
          <w:rFonts w:ascii="宋体" w:hAnsi="宋体" w:cs="宋体"/>
          <w:sz w:val="24"/>
          <w:lang w:val="zh-CN"/>
        </w:rPr>
      </w:pPr>
      <w:bookmarkStart w:id="45" w:name="_Toc5684"/>
      <w:r>
        <w:rPr>
          <w:rFonts w:hint="eastAsia" w:ascii="宋体" w:hAnsi="宋体" w:cs="宋体"/>
          <w:sz w:val="24"/>
          <w:lang w:val="zh-CN"/>
        </w:rPr>
        <w:t>项目负责人近3年内类似工作经历一览表</w:t>
      </w:r>
      <w:bookmarkEnd w:id="45"/>
    </w:p>
    <w:tbl>
      <w:tblPr>
        <w:tblStyle w:val="70"/>
        <w:tblW w:w="9162" w:type="dxa"/>
        <w:tblInd w:w="0" w:type="dxa"/>
        <w:tblLayout w:type="fixed"/>
        <w:tblCellMar>
          <w:top w:w="0" w:type="dxa"/>
          <w:left w:w="108" w:type="dxa"/>
          <w:bottom w:w="0" w:type="dxa"/>
          <w:right w:w="108" w:type="dxa"/>
        </w:tblCellMar>
      </w:tblPr>
      <w:tblGrid>
        <w:gridCol w:w="1472"/>
        <w:gridCol w:w="2510"/>
        <w:gridCol w:w="2400"/>
        <w:gridCol w:w="2780"/>
      </w:tblGrid>
      <w:tr>
        <w:tblPrEx>
          <w:tblCellMar>
            <w:top w:w="0" w:type="dxa"/>
            <w:left w:w="108" w:type="dxa"/>
            <w:bottom w:w="0" w:type="dxa"/>
            <w:right w:w="108" w:type="dxa"/>
          </w:tblCellMar>
        </w:tblPrEx>
        <w:trPr>
          <w:trHeight w:val="921" w:hRule="atLeast"/>
        </w:trPr>
        <w:tc>
          <w:tcPr>
            <w:tcW w:w="1472" w:type="dxa"/>
            <w:tcBorders>
              <w:top w:val="single" w:color="auto" w:sz="12" w:space="0"/>
              <w:left w:val="single" w:color="auto" w:sz="12"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rPr>
              <w:t>序号</w:t>
            </w:r>
          </w:p>
        </w:tc>
        <w:tc>
          <w:tcPr>
            <w:tcW w:w="2510" w:type="dxa"/>
            <w:tcBorders>
              <w:top w:val="single" w:color="auto" w:sz="12"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lang w:val="zh-CN"/>
              </w:rPr>
              <w:t>项目名称</w:t>
            </w:r>
          </w:p>
        </w:tc>
        <w:tc>
          <w:tcPr>
            <w:tcW w:w="2400" w:type="dxa"/>
            <w:tcBorders>
              <w:top w:val="single" w:color="auto" w:sz="12"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rPr>
              <w:t>委托单位</w:t>
            </w:r>
          </w:p>
        </w:tc>
        <w:tc>
          <w:tcPr>
            <w:tcW w:w="2780" w:type="dxa"/>
            <w:tcBorders>
              <w:top w:val="single" w:color="auto" w:sz="12" w:space="0"/>
              <w:left w:val="single" w:color="auto" w:sz="6" w:space="0"/>
              <w:bottom w:val="single" w:color="auto" w:sz="6" w:space="0"/>
              <w:right w:val="single" w:color="auto" w:sz="12"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lang w:val="zh-CN"/>
              </w:rPr>
              <w:t>备注</w:t>
            </w:r>
          </w:p>
        </w:tc>
      </w:tr>
      <w:tr>
        <w:tblPrEx>
          <w:tblCellMar>
            <w:top w:w="0" w:type="dxa"/>
            <w:left w:w="108" w:type="dxa"/>
            <w:bottom w:w="0" w:type="dxa"/>
            <w:right w:w="108" w:type="dxa"/>
          </w:tblCellMar>
        </w:tblPrEx>
        <w:trPr>
          <w:trHeight w:val="756" w:hRule="atLeast"/>
        </w:trPr>
        <w:tc>
          <w:tcPr>
            <w:tcW w:w="1472" w:type="dxa"/>
            <w:tcBorders>
              <w:top w:val="single" w:color="auto" w:sz="6" w:space="0"/>
              <w:left w:val="single" w:color="auto" w:sz="12" w:space="0"/>
              <w:bottom w:val="single" w:color="auto" w:sz="12" w:space="0"/>
              <w:right w:val="single" w:color="auto" w:sz="6" w:space="0"/>
            </w:tcBorders>
            <w:vAlign w:val="center"/>
          </w:tcPr>
          <w:p>
            <w:pPr>
              <w:autoSpaceDE w:val="0"/>
              <w:autoSpaceDN w:val="0"/>
              <w:adjustRightInd w:val="0"/>
              <w:ind w:left="120" w:hanging="120"/>
              <w:rPr>
                <w:rFonts w:ascii="宋体" w:hAnsi="宋体" w:cs="宋体"/>
                <w:sz w:val="24"/>
              </w:rPr>
            </w:pPr>
          </w:p>
        </w:tc>
        <w:tc>
          <w:tcPr>
            <w:tcW w:w="2510" w:type="dxa"/>
            <w:tcBorders>
              <w:top w:val="single" w:color="auto" w:sz="6" w:space="0"/>
              <w:left w:val="single" w:color="auto" w:sz="6" w:space="0"/>
              <w:bottom w:val="single" w:color="auto" w:sz="12" w:space="0"/>
              <w:right w:val="single" w:color="auto" w:sz="6" w:space="0"/>
            </w:tcBorders>
            <w:vAlign w:val="center"/>
          </w:tcPr>
          <w:p>
            <w:pPr>
              <w:autoSpaceDE w:val="0"/>
              <w:autoSpaceDN w:val="0"/>
              <w:adjustRightInd w:val="0"/>
              <w:ind w:left="120" w:hanging="120"/>
              <w:rPr>
                <w:rFonts w:ascii="宋体" w:hAnsi="宋体" w:cs="宋体"/>
                <w:sz w:val="24"/>
              </w:rPr>
            </w:pPr>
          </w:p>
        </w:tc>
        <w:tc>
          <w:tcPr>
            <w:tcW w:w="2400" w:type="dxa"/>
            <w:tcBorders>
              <w:top w:val="single" w:color="auto" w:sz="6" w:space="0"/>
              <w:left w:val="single" w:color="auto" w:sz="6" w:space="0"/>
              <w:bottom w:val="single" w:color="auto" w:sz="12" w:space="0"/>
              <w:right w:val="single" w:color="auto" w:sz="6" w:space="0"/>
            </w:tcBorders>
            <w:vAlign w:val="center"/>
          </w:tcPr>
          <w:p>
            <w:pPr>
              <w:autoSpaceDE w:val="0"/>
              <w:autoSpaceDN w:val="0"/>
              <w:adjustRightInd w:val="0"/>
              <w:ind w:left="120" w:hanging="120"/>
              <w:rPr>
                <w:rFonts w:ascii="宋体" w:hAnsi="宋体" w:cs="宋体"/>
                <w:sz w:val="24"/>
              </w:rPr>
            </w:pPr>
          </w:p>
        </w:tc>
        <w:tc>
          <w:tcPr>
            <w:tcW w:w="2780" w:type="dxa"/>
            <w:tcBorders>
              <w:top w:val="single" w:color="auto" w:sz="6" w:space="0"/>
              <w:left w:val="single" w:color="auto" w:sz="6" w:space="0"/>
              <w:bottom w:val="single" w:color="auto" w:sz="12" w:space="0"/>
              <w:right w:val="single" w:color="auto" w:sz="12" w:space="0"/>
            </w:tcBorders>
            <w:vAlign w:val="center"/>
          </w:tcPr>
          <w:p>
            <w:pPr>
              <w:autoSpaceDE w:val="0"/>
              <w:autoSpaceDN w:val="0"/>
              <w:adjustRightInd w:val="0"/>
              <w:ind w:left="120" w:hanging="120"/>
              <w:rPr>
                <w:rFonts w:ascii="宋体" w:hAnsi="宋体" w:cs="宋体"/>
                <w:sz w:val="24"/>
              </w:rPr>
            </w:pPr>
          </w:p>
        </w:tc>
      </w:tr>
    </w:tbl>
    <w:p>
      <w:pPr>
        <w:spacing w:line="480" w:lineRule="auto"/>
        <w:ind w:left="120" w:hanging="120"/>
        <w:rPr>
          <w:rFonts w:ascii="宋体" w:hAnsi="宋体" w:cs="宋体"/>
          <w:sz w:val="24"/>
          <w:lang w:val="zh-CN"/>
        </w:rPr>
      </w:pPr>
      <w:r>
        <w:rPr>
          <w:rFonts w:hint="eastAsia" w:ascii="宋体" w:hAnsi="宋体" w:cs="宋体"/>
          <w:sz w:val="24"/>
          <w:lang w:val="zh-CN"/>
        </w:rPr>
        <w:t>3、项目负责人简历中应附相关资格证书、职称证书、类似业绩、需提供本单位近</w:t>
      </w:r>
      <w:r>
        <w:rPr>
          <w:rFonts w:hint="eastAsia" w:ascii="宋体" w:hAnsi="宋体" w:cs="宋体"/>
          <w:sz w:val="24"/>
        </w:rPr>
        <w:t>1</w:t>
      </w:r>
      <w:r>
        <w:rPr>
          <w:rFonts w:hint="eastAsia" w:ascii="宋体" w:hAnsi="宋体" w:cs="宋体"/>
          <w:sz w:val="24"/>
          <w:lang w:val="zh-CN"/>
        </w:rPr>
        <w:t>年以上工资发放及社保记录等相关证明材料复印件。</w:t>
      </w:r>
    </w:p>
    <w:p>
      <w:pPr>
        <w:spacing w:line="480" w:lineRule="auto"/>
        <w:ind w:left="120" w:hanging="120"/>
        <w:rPr>
          <w:rFonts w:ascii="宋体" w:hAnsi="宋体" w:cs="宋体"/>
          <w:sz w:val="24"/>
        </w:rPr>
      </w:pPr>
    </w:p>
    <w:p>
      <w:pPr>
        <w:spacing w:line="480" w:lineRule="auto"/>
        <w:ind w:left="120" w:hanging="120"/>
        <w:rPr>
          <w:rFonts w:ascii="宋体" w:hAnsi="宋体" w:cs="宋体"/>
          <w:color w:val="FF0000"/>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r>
        <w:rPr>
          <w:rFonts w:hint="eastAsia" w:ascii="宋体" w:hAnsi="宋体" w:cs="宋体"/>
          <w:b/>
          <w:sz w:val="24"/>
        </w:rPr>
        <w:t>8、拟参加项目人员表</w:t>
      </w:r>
    </w:p>
    <w:p>
      <w:pPr>
        <w:ind w:left="120" w:hanging="120"/>
        <w:jc w:val="center"/>
        <w:rPr>
          <w:rFonts w:ascii="宋体" w:hAnsi="宋体" w:cs="宋体"/>
          <w:sz w:val="24"/>
        </w:rPr>
      </w:pPr>
    </w:p>
    <w:p>
      <w:pPr>
        <w:autoSpaceDE w:val="0"/>
        <w:autoSpaceDN w:val="0"/>
        <w:adjustRightInd w:val="0"/>
        <w:ind w:left="120" w:hanging="120"/>
        <w:jc w:val="center"/>
        <w:rPr>
          <w:rFonts w:ascii="宋体" w:hAnsi="宋体" w:cs="宋体"/>
          <w:sz w:val="24"/>
          <w:lang w:val="zh-CN"/>
        </w:rPr>
      </w:pPr>
    </w:p>
    <w:p>
      <w:pPr>
        <w:tabs>
          <w:tab w:val="left" w:pos="0"/>
          <w:tab w:val="left" w:pos="567"/>
          <w:tab w:val="left" w:pos="993"/>
          <w:tab w:val="left" w:pos="1134"/>
        </w:tabs>
        <w:snapToGrid w:val="0"/>
        <w:spacing w:line="360" w:lineRule="auto"/>
        <w:ind w:left="643" w:hanging="643"/>
        <w:jc w:val="center"/>
        <w:rPr>
          <w:rFonts w:ascii="宋体" w:hAnsi="宋体" w:cs="Times New Roman"/>
          <w:b/>
          <w:sz w:val="32"/>
          <w:szCs w:val="32"/>
        </w:rPr>
      </w:pPr>
      <w:r>
        <w:rPr>
          <w:rFonts w:hint="eastAsia" w:ascii="宋体" w:hAnsi="宋体" w:cs="Times New Roman"/>
          <w:b/>
          <w:sz w:val="32"/>
          <w:szCs w:val="32"/>
        </w:rPr>
        <w:t>拟担任本项目</w:t>
      </w:r>
      <w:r>
        <w:rPr>
          <w:rFonts w:hint="eastAsia" w:ascii="宋体" w:hAnsi="宋体"/>
          <w:b/>
          <w:sz w:val="32"/>
          <w:szCs w:val="32"/>
        </w:rPr>
        <w:t>检测鉴定</w:t>
      </w:r>
      <w:r>
        <w:rPr>
          <w:rFonts w:hint="eastAsia" w:ascii="宋体" w:hAnsi="宋体" w:cs="Times New Roman"/>
          <w:b/>
          <w:sz w:val="32"/>
          <w:szCs w:val="32"/>
        </w:rPr>
        <w:t>人员汇总表</w:t>
      </w:r>
    </w:p>
    <w:p>
      <w:pPr>
        <w:tabs>
          <w:tab w:val="left" w:pos="0"/>
          <w:tab w:val="left" w:pos="567"/>
          <w:tab w:val="left" w:pos="993"/>
          <w:tab w:val="left" w:pos="1134"/>
        </w:tabs>
        <w:snapToGrid w:val="0"/>
        <w:spacing w:line="360" w:lineRule="auto"/>
        <w:ind w:left="560" w:hanging="56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投标人（盖章）：</w:t>
      </w:r>
    </w:p>
    <w:tbl>
      <w:tblPr>
        <w:tblStyle w:val="7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748"/>
        <w:gridCol w:w="889"/>
        <w:gridCol w:w="1068"/>
        <w:gridCol w:w="1068"/>
        <w:gridCol w:w="1878"/>
        <w:gridCol w:w="969"/>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jc w:val="center"/>
        </w:trPr>
        <w:tc>
          <w:tcPr>
            <w:tcW w:w="2849" w:type="dxa"/>
            <w:gridSpan w:val="2"/>
            <w:tcBorders>
              <w:top w:val="single" w:color="auto" w:sz="4" w:space="0"/>
              <w:left w:val="single" w:color="auto" w:sz="4" w:space="0"/>
              <w:bottom w:val="single" w:color="auto" w:sz="4" w:space="0"/>
              <w:right w:val="single" w:color="auto" w:sz="4" w:space="0"/>
            </w:tcBorders>
            <w:noWrap w:val="0"/>
            <w:vAlign w:val="center"/>
          </w:tcPr>
          <w:p>
            <w:pPr>
              <w:pStyle w:val="20"/>
              <w:spacing w:line="360" w:lineRule="auto"/>
              <w:ind w:firstLine="720" w:firstLineChars="3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岗位名称</w:t>
            </w:r>
          </w:p>
        </w:tc>
        <w:tc>
          <w:tcPr>
            <w:tcW w:w="889"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auto"/>
              <w:ind w:left="0" w:leftChars="0" w:firstLine="0" w:firstLineChars="0"/>
              <w:jc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姓名</w:t>
            </w:r>
          </w:p>
        </w:tc>
        <w:tc>
          <w:tcPr>
            <w:tcW w:w="1068"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执业</w:t>
            </w:r>
          </w:p>
          <w:p>
            <w:pPr>
              <w:pStyle w:val="20"/>
              <w:spacing w:line="36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资格/</w:t>
            </w:r>
          </w:p>
          <w:p>
            <w:pPr>
              <w:pStyle w:val="20"/>
              <w:spacing w:line="36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职称</w:t>
            </w:r>
          </w:p>
        </w:tc>
        <w:tc>
          <w:tcPr>
            <w:tcW w:w="10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现任</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职务</w:t>
            </w:r>
          </w:p>
        </w:tc>
        <w:tc>
          <w:tcPr>
            <w:tcW w:w="18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从事检测鉴</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定年限、经验</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和在该项目</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中担任的</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职务</w:t>
            </w:r>
          </w:p>
        </w:tc>
        <w:tc>
          <w:tcPr>
            <w:tcW w:w="96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是否</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驻施</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工现</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场</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restart"/>
            <w:tcBorders>
              <w:top w:val="single" w:color="auto" w:sz="4" w:space="0"/>
              <w:left w:val="single" w:color="auto" w:sz="8" w:space="0"/>
              <w:right w:val="single" w:color="auto" w:sz="4" w:space="0"/>
            </w:tcBorders>
            <w:noWrap w:val="0"/>
            <w:vAlign w:val="center"/>
          </w:tcPr>
          <w:p>
            <w:pPr>
              <w:pStyle w:val="20"/>
              <w:spacing w:line="360" w:lineRule="auto"/>
              <w:ind w:left="0" w:leftChars="0" w:firstLine="240" w:firstLineChars="100"/>
              <w:jc w:val="both"/>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总</w:t>
            </w:r>
            <w:r>
              <w:rPr>
                <w:rFonts w:hint="eastAsia" w:ascii="宋体" w:hAnsi="宋体" w:eastAsia="宋体" w:cs="宋体"/>
                <w:color w:val="000000"/>
                <w:kern w:val="2"/>
                <w:sz w:val="24"/>
                <w:szCs w:val="24"/>
                <w:lang w:val="en-US" w:eastAsia="zh-CN" w:bidi="ar-SA"/>
              </w:rPr>
              <w:t>部</w:t>
            </w:r>
          </w:p>
        </w:tc>
        <w:tc>
          <w:tcPr>
            <w:tcW w:w="1748" w:type="dxa"/>
            <w:tcBorders>
              <w:top w:val="single" w:color="auto" w:sz="4" w:space="0"/>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项目主管</w:t>
            </w:r>
          </w:p>
        </w:tc>
        <w:tc>
          <w:tcPr>
            <w:tcW w:w="889" w:type="dxa"/>
            <w:tcBorders>
              <w:top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tcBorders>
              <w:top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tcBorders>
              <w:top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tcBorders>
              <w:top w:val="single" w:color="auto" w:sz="4" w:space="0"/>
            </w:tcBorders>
            <w:noWrap w:val="0"/>
            <w:vAlign w:val="center"/>
          </w:tcPr>
          <w:p>
            <w:pPr>
              <w:pStyle w:val="20"/>
              <w:spacing w:line="360" w:lineRule="auto"/>
              <w:ind w:firstLine="720" w:firstLineChars="3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969" w:type="dxa"/>
            <w:tcBorders>
              <w:top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top w:val="single" w:color="auto" w:sz="4" w:space="0"/>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技术主管</w:t>
            </w:r>
          </w:p>
        </w:tc>
        <w:tc>
          <w:tcPr>
            <w:tcW w:w="88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firstLine="720" w:firstLineChars="3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88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firstLine="720" w:firstLineChars="3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restart"/>
            <w:tcBorders>
              <w:left w:val="single" w:color="auto" w:sz="8" w:space="0"/>
              <w:right w:val="single" w:color="auto" w:sz="4" w:space="0"/>
            </w:tcBorders>
            <w:noWrap w:val="0"/>
            <w:vAlign w:val="center"/>
          </w:tcPr>
          <w:p>
            <w:pPr>
              <w:pStyle w:val="20"/>
              <w:spacing w:line="360" w:lineRule="auto"/>
              <w:ind w:left="0" w:leftChars="0" w:firstLine="0" w:firstLineChars="0"/>
              <w:jc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项目主要人员</w:t>
            </w: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项目负责人</w:t>
            </w:r>
          </w:p>
        </w:tc>
        <w:tc>
          <w:tcPr>
            <w:tcW w:w="88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必须填写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88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88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88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88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bl>
    <w:p>
      <w:pPr>
        <w:spacing w:line="640" w:lineRule="exact"/>
        <w:ind w:left="120" w:hanging="120"/>
        <w:rPr>
          <w:rFonts w:ascii="宋体" w:hAnsi="宋体" w:cs="宋体"/>
          <w:sz w:val="24"/>
        </w:rPr>
      </w:pPr>
      <w:r>
        <w:rPr>
          <w:rFonts w:hint="eastAsia" w:ascii="宋体" w:hAnsi="宋体" w:cs="宋体"/>
          <w:sz w:val="24"/>
        </w:rPr>
        <w:t>　  投标</w:t>
      </w:r>
      <w:r>
        <w:rPr>
          <w:rFonts w:hint="eastAsia" w:ascii="宋体" w:hAnsi="宋体" w:cs="宋体"/>
          <w:color w:val="000000"/>
          <w:sz w:val="24"/>
        </w:rPr>
        <w:t>单位：</w:t>
      </w:r>
      <w:r>
        <w:rPr>
          <w:rFonts w:hint="eastAsia" w:ascii="宋体" w:hAnsi="宋体" w:cs="宋体"/>
          <w:sz w:val="24"/>
        </w:rPr>
        <w:t>(</w:t>
      </w:r>
      <w:r>
        <w:rPr>
          <w:rFonts w:hint="eastAsia" w:ascii="宋体" w:hAnsi="宋体" w:cs="宋体"/>
          <w:color w:val="000000"/>
          <w:sz w:val="24"/>
        </w:rPr>
        <w:t>公章</w:t>
      </w:r>
      <w:r>
        <w:rPr>
          <w:rFonts w:hint="eastAsia" w:ascii="宋体" w:hAnsi="宋体" w:cs="宋体"/>
          <w:sz w:val="24"/>
        </w:rPr>
        <w:t>)：</w:t>
      </w:r>
      <w:r>
        <w:rPr>
          <w:rFonts w:hint="eastAsia" w:ascii="宋体" w:hAnsi="宋体" w:cs="宋体"/>
          <w:sz w:val="24"/>
          <w:u w:val="single"/>
        </w:rPr>
        <w:t xml:space="preserve">                                </w:t>
      </w:r>
    </w:p>
    <w:p>
      <w:pPr>
        <w:spacing w:line="640" w:lineRule="exact"/>
        <w:ind w:firstLine="240" w:firstLineChars="100"/>
        <w:rPr>
          <w:rFonts w:ascii="宋体" w:hAnsi="宋体" w:cs="宋体"/>
          <w:sz w:val="24"/>
          <w:u w:val="single"/>
        </w:rPr>
      </w:pPr>
      <w:r>
        <w:rPr>
          <w:rFonts w:hint="eastAsia" w:ascii="宋体" w:hAnsi="宋体" w:cs="宋体"/>
          <w:sz w:val="24"/>
        </w:rPr>
        <w:t>　</w:t>
      </w:r>
      <w:r>
        <w:rPr>
          <w:rFonts w:hint="eastAsia" w:ascii="宋体" w:hAnsi="宋体" w:cs="宋体"/>
          <w:color w:val="000000"/>
          <w:sz w:val="24"/>
        </w:rPr>
        <w:t>法定代表人或授权代表人（签字或盖章）：</w:t>
      </w:r>
      <w:r>
        <w:rPr>
          <w:rFonts w:hint="eastAsia" w:ascii="宋体" w:hAnsi="宋体" w:cs="宋体"/>
          <w:sz w:val="24"/>
          <w:u w:val="single"/>
        </w:rPr>
        <w:t xml:space="preserve">                </w:t>
      </w:r>
    </w:p>
    <w:p>
      <w:pPr>
        <w:spacing w:line="640" w:lineRule="exact"/>
        <w:ind w:left="120" w:hanging="120"/>
        <w:rPr>
          <w:rFonts w:ascii="宋体" w:hAnsi="宋体" w:cs="宋体"/>
          <w:sz w:val="24"/>
        </w:rPr>
      </w:pPr>
      <w:r>
        <w:rPr>
          <w:rFonts w:hint="eastAsia" w:ascii="宋体" w:hAnsi="宋体" w:cs="宋体"/>
          <w:sz w:val="24"/>
        </w:rPr>
        <w:t>　　日 期:</w:t>
      </w:r>
      <w:r>
        <w:rPr>
          <w:rFonts w:hint="eastAsia" w:ascii="宋体" w:hAnsi="宋体" w:cs="宋体"/>
          <w:sz w:val="24"/>
          <w:u w:val="single"/>
        </w:rPr>
        <w:t xml:space="preserve">                      </w:t>
      </w:r>
    </w:p>
    <w:p>
      <w:pPr>
        <w:ind w:left="120" w:hanging="120"/>
      </w:pPr>
      <w:r>
        <w:rPr>
          <w:rFonts w:hint="eastAsia" w:ascii="宋体" w:hAnsi="宋体" w:cs="宋体"/>
          <w:sz w:val="24"/>
        </w:rPr>
        <w:t>备注：</w:t>
      </w:r>
      <w:r>
        <w:rPr>
          <w:rFonts w:hint="eastAsia" w:ascii="宋体" w:hAnsi="宋体" w:cs="宋体"/>
          <w:color w:val="000000"/>
          <w:sz w:val="24"/>
          <w:lang w:val="zh-CN"/>
        </w:rPr>
        <w:t>附相关注册证书、专业技术职称证书等复印件，加盖公章</w:t>
      </w:r>
      <w:r>
        <w:rPr>
          <w:rFonts w:hint="eastAsia" w:ascii="宋体" w:hAnsi="宋体" w:cs="宋体"/>
          <w:color w:val="000000"/>
          <w:sz w:val="24"/>
        </w:rPr>
        <w:t>。</w:t>
      </w:r>
    </w:p>
    <w:p>
      <w:pPr>
        <w:ind w:left="120" w:hanging="120"/>
        <w:jc w:val="center"/>
        <w:rPr>
          <w:rFonts w:hint="eastAsia" w:ascii="宋体" w:hAnsi="宋体" w:cs="宋体"/>
          <w:b/>
          <w:color w:val="000000"/>
          <w:sz w:val="24"/>
        </w:rPr>
      </w:pPr>
    </w:p>
    <w:p>
      <w:pPr>
        <w:ind w:left="120" w:hanging="120"/>
        <w:jc w:val="center"/>
        <w:rPr>
          <w:rFonts w:hint="eastAsia" w:ascii="宋体" w:hAnsi="宋体" w:cs="宋体"/>
          <w:b/>
          <w:color w:val="000000"/>
          <w:sz w:val="24"/>
        </w:rPr>
      </w:pPr>
    </w:p>
    <w:p>
      <w:pPr>
        <w:ind w:left="120" w:hanging="120"/>
        <w:jc w:val="center"/>
        <w:rPr>
          <w:rFonts w:hint="eastAsia" w:ascii="宋体" w:hAnsi="宋体" w:cs="宋体"/>
          <w:b/>
          <w:color w:val="000000"/>
          <w:sz w:val="24"/>
        </w:rPr>
      </w:pPr>
    </w:p>
    <w:p>
      <w:pPr>
        <w:ind w:left="120" w:hanging="120"/>
        <w:jc w:val="center"/>
        <w:rPr>
          <w:rFonts w:hint="eastAsia" w:ascii="宋体" w:hAnsi="宋体" w:cs="宋体"/>
          <w:b/>
          <w:color w:val="000000"/>
          <w:sz w:val="24"/>
        </w:rPr>
      </w:pPr>
    </w:p>
    <w:p>
      <w:pPr>
        <w:ind w:left="120" w:hanging="120"/>
        <w:jc w:val="center"/>
        <w:rPr>
          <w:rFonts w:ascii="宋体" w:hAnsi="宋体" w:cs="宋体"/>
          <w:b/>
          <w:color w:val="000000"/>
          <w:sz w:val="24"/>
        </w:rPr>
      </w:pPr>
      <w:r>
        <w:rPr>
          <w:rFonts w:hint="eastAsia" w:ascii="宋体" w:hAnsi="宋体" w:cs="宋体"/>
          <w:b/>
          <w:color w:val="000000"/>
          <w:sz w:val="24"/>
        </w:rPr>
        <w:t>9、商务条款偏离表</w:t>
      </w:r>
    </w:p>
    <w:p>
      <w:pPr>
        <w:ind w:left="120" w:hanging="120"/>
        <w:rPr>
          <w:rFonts w:ascii="宋体" w:hAnsi="宋体" w:cs="宋体"/>
          <w:b/>
          <w:color w:val="000000"/>
          <w:sz w:val="24"/>
        </w:rPr>
      </w:pPr>
    </w:p>
    <w:p>
      <w:pPr>
        <w:ind w:left="120" w:hanging="120"/>
        <w:rPr>
          <w:rFonts w:ascii="宋体" w:hAnsi="宋体" w:cs="宋体"/>
          <w:color w:val="000000"/>
          <w:sz w:val="24"/>
          <w:u w:val="single"/>
        </w:rPr>
      </w:pPr>
      <w:r>
        <w:rPr>
          <w:rFonts w:hint="eastAsia" w:ascii="宋体" w:hAnsi="宋体" w:cs="宋体"/>
          <w:color w:val="000000"/>
          <w:sz w:val="24"/>
        </w:rPr>
        <w:t>项目名称</w:t>
      </w:r>
      <w:r>
        <w:rPr>
          <w:rFonts w:hint="eastAsia" w:ascii="宋体" w:hAnsi="宋体" w:cs="宋体"/>
          <w:color w:val="000000"/>
          <w:sz w:val="24"/>
          <w:u w:val="single"/>
        </w:rPr>
        <w:t xml:space="preserve">         　　　　　            </w:t>
      </w:r>
      <w:r>
        <w:rPr>
          <w:rFonts w:hint="eastAsia" w:ascii="宋体" w:hAnsi="宋体" w:cs="宋体"/>
          <w:color w:val="000000"/>
          <w:sz w:val="24"/>
        </w:rPr>
        <w:t>项目编号：</w:t>
      </w:r>
      <w:r>
        <w:rPr>
          <w:rFonts w:hint="eastAsia" w:ascii="宋体" w:hAnsi="宋体" w:cs="宋体"/>
          <w:color w:val="000000"/>
          <w:sz w:val="24"/>
          <w:u w:val="single"/>
        </w:rPr>
        <w:t>　　　　</w:t>
      </w:r>
    </w:p>
    <w:tbl>
      <w:tblPr>
        <w:tblStyle w:val="70"/>
        <w:tblW w:w="9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8"/>
        <w:gridCol w:w="2277"/>
        <w:gridCol w:w="2835"/>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75" w:type="dxa"/>
            <w:vAlign w:val="center"/>
          </w:tcPr>
          <w:p>
            <w:pPr>
              <w:ind w:left="120" w:hanging="120"/>
              <w:jc w:val="center"/>
              <w:rPr>
                <w:rFonts w:ascii="宋体" w:hAnsi="宋体" w:cs="宋体"/>
                <w:color w:val="000000"/>
                <w:sz w:val="24"/>
              </w:rPr>
            </w:pPr>
            <w:r>
              <w:rPr>
                <w:rFonts w:hint="eastAsia" w:ascii="宋体" w:hAnsi="宋体" w:cs="宋体"/>
                <w:color w:val="000000"/>
                <w:sz w:val="24"/>
              </w:rPr>
              <w:t>序号</w:t>
            </w:r>
          </w:p>
        </w:tc>
        <w:tc>
          <w:tcPr>
            <w:tcW w:w="1398" w:type="dxa"/>
            <w:vAlign w:val="center"/>
          </w:tcPr>
          <w:p>
            <w:pPr>
              <w:ind w:left="120" w:hanging="120"/>
              <w:jc w:val="center"/>
              <w:rPr>
                <w:rFonts w:ascii="宋体" w:hAnsi="宋体" w:cs="宋体"/>
                <w:color w:val="000000"/>
                <w:sz w:val="24"/>
              </w:rPr>
            </w:pPr>
            <w:r>
              <w:rPr>
                <w:rFonts w:hint="eastAsia" w:ascii="宋体" w:hAnsi="宋体" w:cs="宋体"/>
                <w:color w:val="000000"/>
                <w:sz w:val="24"/>
              </w:rPr>
              <w:t>招标文件</w:t>
            </w:r>
          </w:p>
          <w:p>
            <w:pPr>
              <w:ind w:left="120" w:hanging="120"/>
              <w:jc w:val="center"/>
              <w:rPr>
                <w:rFonts w:ascii="宋体" w:hAnsi="宋体" w:cs="宋体"/>
                <w:color w:val="000000"/>
                <w:sz w:val="24"/>
              </w:rPr>
            </w:pPr>
            <w:r>
              <w:rPr>
                <w:rFonts w:hint="eastAsia" w:ascii="宋体" w:hAnsi="宋体" w:cs="宋体"/>
                <w:color w:val="000000"/>
                <w:sz w:val="24"/>
              </w:rPr>
              <w:t>条目号</w:t>
            </w:r>
          </w:p>
        </w:tc>
        <w:tc>
          <w:tcPr>
            <w:tcW w:w="2277" w:type="dxa"/>
            <w:vAlign w:val="center"/>
          </w:tcPr>
          <w:p>
            <w:pPr>
              <w:ind w:left="120" w:hanging="120"/>
              <w:jc w:val="center"/>
              <w:rPr>
                <w:rFonts w:ascii="宋体" w:hAnsi="宋体" w:cs="宋体"/>
                <w:color w:val="000000"/>
                <w:sz w:val="24"/>
              </w:rPr>
            </w:pPr>
            <w:r>
              <w:rPr>
                <w:rFonts w:hint="eastAsia" w:ascii="宋体" w:hAnsi="宋体" w:cs="宋体"/>
                <w:color w:val="000000"/>
                <w:sz w:val="24"/>
              </w:rPr>
              <w:t>招标文件的商务条款</w:t>
            </w:r>
          </w:p>
        </w:tc>
        <w:tc>
          <w:tcPr>
            <w:tcW w:w="2835" w:type="dxa"/>
            <w:vAlign w:val="center"/>
          </w:tcPr>
          <w:p>
            <w:pPr>
              <w:ind w:left="120" w:hanging="120"/>
              <w:jc w:val="center"/>
              <w:rPr>
                <w:rFonts w:ascii="宋体" w:hAnsi="宋体" w:cs="宋体"/>
                <w:color w:val="000000"/>
                <w:sz w:val="24"/>
              </w:rPr>
            </w:pPr>
            <w:r>
              <w:rPr>
                <w:rFonts w:hint="eastAsia" w:ascii="宋体" w:hAnsi="宋体" w:cs="宋体"/>
                <w:color w:val="000000"/>
                <w:sz w:val="24"/>
              </w:rPr>
              <w:t>投标文件的商务条款</w:t>
            </w:r>
          </w:p>
        </w:tc>
        <w:tc>
          <w:tcPr>
            <w:tcW w:w="1984" w:type="dxa"/>
            <w:vAlign w:val="center"/>
          </w:tcPr>
          <w:p>
            <w:pPr>
              <w:ind w:left="120" w:hanging="120"/>
              <w:jc w:val="center"/>
              <w:rPr>
                <w:rFonts w:ascii="宋体" w:hAnsi="宋体" w:cs="宋体"/>
                <w:color w:val="000000"/>
                <w:sz w:val="24"/>
              </w:rPr>
            </w:pPr>
            <w:r>
              <w:rPr>
                <w:rFonts w:hint="eastAsia" w:ascii="宋体" w:hAnsi="宋体" w:cs="宋体"/>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675" w:type="dxa"/>
          </w:tcPr>
          <w:p>
            <w:pPr>
              <w:ind w:left="120" w:hanging="120"/>
              <w:rPr>
                <w:rFonts w:ascii="宋体" w:hAnsi="宋体" w:cs="宋体"/>
                <w:color w:val="000000"/>
                <w:sz w:val="24"/>
              </w:rPr>
            </w:pPr>
            <w:r>
              <w:rPr>
                <w:rFonts w:hint="eastAsia" w:ascii="宋体" w:hAnsi="宋体" w:cs="宋体"/>
                <w:color w:val="000000"/>
                <w:sz w:val="24"/>
              </w:rPr>
              <w:t>1</w:t>
            </w:r>
          </w:p>
        </w:tc>
        <w:tc>
          <w:tcPr>
            <w:tcW w:w="1398" w:type="dxa"/>
          </w:tcPr>
          <w:p>
            <w:pPr>
              <w:widowControl/>
              <w:ind w:left="120" w:hanging="120"/>
              <w:jc w:val="left"/>
              <w:rPr>
                <w:rFonts w:ascii="宋体" w:hAnsi="宋体" w:cs="宋体"/>
                <w:color w:val="000000"/>
                <w:sz w:val="24"/>
              </w:rPr>
            </w:pPr>
          </w:p>
          <w:p>
            <w:pPr>
              <w:ind w:left="120" w:hanging="120"/>
              <w:rPr>
                <w:rFonts w:ascii="宋体" w:hAnsi="宋体" w:cs="宋体"/>
                <w:color w:val="000000"/>
                <w:sz w:val="24"/>
              </w:rPr>
            </w:pPr>
          </w:p>
        </w:tc>
        <w:tc>
          <w:tcPr>
            <w:tcW w:w="2277" w:type="dxa"/>
          </w:tcPr>
          <w:p>
            <w:pPr>
              <w:ind w:left="120" w:hanging="120"/>
              <w:rPr>
                <w:rFonts w:ascii="宋体" w:hAnsi="宋体" w:cs="宋体"/>
                <w:color w:val="000000"/>
                <w:sz w:val="24"/>
              </w:rPr>
            </w:pPr>
          </w:p>
        </w:tc>
        <w:tc>
          <w:tcPr>
            <w:tcW w:w="2835" w:type="dxa"/>
          </w:tcPr>
          <w:p>
            <w:pPr>
              <w:ind w:left="120" w:hanging="120"/>
              <w:rPr>
                <w:rFonts w:ascii="宋体" w:hAnsi="宋体" w:cs="宋体"/>
                <w:color w:val="000000"/>
                <w:sz w:val="24"/>
              </w:rPr>
            </w:pPr>
          </w:p>
        </w:tc>
        <w:tc>
          <w:tcPr>
            <w:tcW w:w="1984" w:type="dxa"/>
          </w:tcPr>
          <w:p>
            <w:pPr>
              <w:ind w:left="120" w:hanging="120"/>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675" w:type="dxa"/>
          </w:tcPr>
          <w:p>
            <w:pPr>
              <w:ind w:left="120" w:hanging="120"/>
              <w:rPr>
                <w:rFonts w:ascii="宋体" w:hAnsi="宋体" w:cs="宋体"/>
                <w:color w:val="000000"/>
                <w:sz w:val="24"/>
              </w:rPr>
            </w:pPr>
            <w:r>
              <w:rPr>
                <w:rFonts w:hint="eastAsia" w:ascii="宋体" w:hAnsi="宋体" w:cs="宋体"/>
                <w:color w:val="000000"/>
                <w:sz w:val="24"/>
              </w:rPr>
              <w:t>2</w:t>
            </w:r>
          </w:p>
          <w:p>
            <w:pPr>
              <w:ind w:left="120" w:hanging="120"/>
              <w:rPr>
                <w:rFonts w:ascii="宋体" w:hAnsi="宋体" w:cs="宋体"/>
                <w:color w:val="000000"/>
                <w:sz w:val="24"/>
              </w:rPr>
            </w:pPr>
          </w:p>
        </w:tc>
        <w:tc>
          <w:tcPr>
            <w:tcW w:w="1398" w:type="dxa"/>
          </w:tcPr>
          <w:p>
            <w:pPr>
              <w:widowControl/>
              <w:ind w:left="120" w:hanging="120"/>
              <w:jc w:val="left"/>
              <w:rPr>
                <w:rFonts w:ascii="宋体" w:hAnsi="宋体" w:cs="宋体"/>
                <w:color w:val="000000"/>
                <w:sz w:val="24"/>
              </w:rPr>
            </w:pPr>
          </w:p>
          <w:p>
            <w:pPr>
              <w:ind w:left="120" w:hanging="120"/>
              <w:rPr>
                <w:rFonts w:ascii="宋体" w:hAnsi="宋体" w:cs="宋体"/>
                <w:color w:val="000000"/>
                <w:sz w:val="24"/>
              </w:rPr>
            </w:pPr>
          </w:p>
        </w:tc>
        <w:tc>
          <w:tcPr>
            <w:tcW w:w="2277" w:type="dxa"/>
          </w:tcPr>
          <w:p>
            <w:pPr>
              <w:ind w:left="120" w:hanging="120"/>
              <w:rPr>
                <w:rFonts w:ascii="宋体" w:hAnsi="宋体" w:cs="宋体"/>
                <w:color w:val="000000"/>
                <w:sz w:val="24"/>
              </w:rPr>
            </w:pPr>
          </w:p>
        </w:tc>
        <w:tc>
          <w:tcPr>
            <w:tcW w:w="2835" w:type="dxa"/>
          </w:tcPr>
          <w:p>
            <w:pPr>
              <w:ind w:left="120" w:hanging="120"/>
              <w:rPr>
                <w:rFonts w:ascii="宋体" w:hAnsi="宋体" w:cs="宋体"/>
                <w:color w:val="000000"/>
                <w:sz w:val="24"/>
              </w:rPr>
            </w:pPr>
          </w:p>
        </w:tc>
        <w:tc>
          <w:tcPr>
            <w:tcW w:w="1984" w:type="dxa"/>
          </w:tcPr>
          <w:p>
            <w:pPr>
              <w:ind w:left="120" w:hanging="120"/>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675" w:type="dxa"/>
          </w:tcPr>
          <w:p>
            <w:pPr>
              <w:ind w:left="120" w:hanging="120"/>
              <w:rPr>
                <w:rFonts w:ascii="宋体" w:hAnsi="宋体" w:cs="宋体"/>
                <w:color w:val="000000"/>
                <w:sz w:val="24"/>
              </w:rPr>
            </w:pPr>
            <w:r>
              <w:rPr>
                <w:rFonts w:hint="eastAsia" w:ascii="宋体" w:hAnsi="宋体" w:cs="宋体"/>
                <w:color w:val="000000"/>
                <w:sz w:val="24"/>
              </w:rPr>
              <w:t>3</w:t>
            </w:r>
          </w:p>
          <w:p>
            <w:pPr>
              <w:ind w:left="120" w:hanging="120"/>
              <w:rPr>
                <w:rFonts w:ascii="宋体" w:hAnsi="宋体" w:cs="宋体"/>
                <w:color w:val="000000"/>
                <w:sz w:val="24"/>
              </w:rPr>
            </w:pPr>
          </w:p>
        </w:tc>
        <w:tc>
          <w:tcPr>
            <w:tcW w:w="1398" w:type="dxa"/>
          </w:tcPr>
          <w:p>
            <w:pPr>
              <w:widowControl/>
              <w:ind w:left="120" w:hanging="120"/>
              <w:jc w:val="left"/>
              <w:rPr>
                <w:rFonts w:ascii="宋体" w:hAnsi="宋体" w:cs="宋体"/>
                <w:color w:val="000000"/>
                <w:sz w:val="24"/>
              </w:rPr>
            </w:pPr>
          </w:p>
          <w:p>
            <w:pPr>
              <w:ind w:left="120" w:hanging="120"/>
              <w:rPr>
                <w:rFonts w:ascii="宋体" w:hAnsi="宋体" w:cs="宋体"/>
                <w:color w:val="000000"/>
                <w:sz w:val="24"/>
              </w:rPr>
            </w:pPr>
          </w:p>
        </w:tc>
        <w:tc>
          <w:tcPr>
            <w:tcW w:w="2277" w:type="dxa"/>
          </w:tcPr>
          <w:p>
            <w:pPr>
              <w:ind w:left="120" w:hanging="120"/>
              <w:rPr>
                <w:rFonts w:ascii="宋体" w:hAnsi="宋体" w:cs="宋体"/>
                <w:color w:val="000000"/>
                <w:sz w:val="24"/>
              </w:rPr>
            </w:pPr>
          </w:p>
        </w:tc>
        <w:tc>
          <w:tcPr>
            <w:tcW w:w="2835" w:type="dxa"/>
          </w:tcPr>
          <w:p>
            <w:pPr>
              <w:ind w:left="120" w:hanging="120"/>
              <w:rPr>
                <w:rFonts w:ascii="宋体" w:hAnsi="宋体" w:cs="宋体"/>
                <w:color w:val="000000"/>
                <w:sz w:val="24"/>
              </w:rPr>
            </w:pPr>
          </w:p>
        </w:tc>
        <w:tc>
          <w:tcPr>
            <w:tcW w:w="1984" w:type="dxa"/>
          </w:tcPr>
          <w:p>
            <w:pPr>
              <w:ind w:left="120" w:hanging="120"/>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675" w:type="dxa"/>
          </w:tcPr>
          <w:p>
            <w:pPr>
              <w:ind w:left="120" w:hanging="120"/>
              <w:rPr>
                <w:rFonts w:ascii="宋体" w:hAnsi="宋体" w:cs="宋体"/>
                <w:color w:val="000000"/>
                <w:sz w:val="24"/>
              </w:rPr>
            </w:pPr>
            <w:r>
              <w:rPr>
                <w:rFonts w:hint="eastAsia" w:ascii="宋体" w:hAnsi="宋体" w:cs="宋体"/>
                <w:color w:val="000000"/>
                <w:sz w:val="24"/>
              </w:rPr>
              <w:t>…</w:t>
            </w:r>
          </w:p>
          <w:p>
            <w:pPr>
              <w:ind w:left="120" w:hanging="120"/>
              <w:rPr>
                <w:rFonts w:ascii="宋体" w:hAnsi="宋体" w:cs="宋体"/>
                <w:color w:val="000000"/>
                <w:sz w:val="24"/>
              </w:rPr>
            </w:pPr>
          </w:p>
        </w:tc>
        <w:tc>
          <w:tcPr>
            <w:tcW w:w="1398" w:type="dxa"/>
          </w:tcPr>
          <w:p>
            <w:pPr>
              <w:widowControl/>
              <w:ind w:left="120" w:hanging="120"/>
              <w:jc w:val="left"/>
              <w:rPr>
                <w:rFonts w:ascii="宋体" w:hAnsi="宋体" w:cs="宋体"/>
                <w:color w:val="000000"/>
                <w:sz w:val="24"/>
              </w:rPr>
            </w:pPr>
          </w:p>
          <w:p>
            <w:pPr>
              <w:ind w:left="120" w:hanging="120"/>
              <w:rPr>
                <w:rFonts w:ascii="宋体" w:hAnsi="宋体" w:cs="宋体"/>
                <w:color w:val="000000"/>
                <w:sz w:val="24"/>
              </w:rPr>
            </w:pPr>
          </w:p>
        </w:tc>
        <w:tc>
          <w:tcPr>
            <w:tcW w:w="2277" w:type="dxa"/>
          </w:tcPr>
          <w:p>
            <w:pPr>
              <w:ind w:left="120" w:hanging="120"/>
              <w:rPr>
                <w:rFonts w:ascii="宋体" w:hAnsi="宋体" w:cs="宋体"/>
                <w:color w:val="000000"/>
                <w:sz w:val="24"/>
              </w:rPr>
            </w:pPr>
          </w:p>
        </w:tc>
        <w:tc>
          <w:tcPr>
            <w:tcW w:w="2835" w:type="dxa"/>
          </w:tcPr>
          <w:p>
            <w:pPr>
              <w:ind w:left="120" w:hanging="120"/>
              <w:rPr>
                <w:rFonts w:ascii="宋体" w:hAnsi="宋体" w:cs="宋体"/>
                <w:color w:val="000000"/>
                <w:sz w:val="24"/>
              </w:rPr>
            </w:pPr>
          </w:p>
        </w:tc>
        <w:tc>
          <w:tcPr>
            <w:tcW w:w="1984" w:type="dxa"/>
          </w:tcPr>
          <w:p>
            <w:pPr>
              <w:ind w:left="120" w:hanging="120"/>
              <w:rPr>
                <w:rFonts w:ascii="宋体" w:hAnsi="宋体" w:cs="宋体"/>
                <w:color w:val="000000"/>
                <w:sz w:val="24"/>
              </w:rPr>
            </w:pPr>
          </w:p>
        </w:tc>
      </w:tr>
    </w:tbl>
    <w:p>
      <w:pPr>
        <w:ind w:left="120" w:hanging="120"/>
        <w:rPr>
          <w:rFonts w:ascii="宋体" w:hAnsi="宋体" w:cs="宋体"/>
          <w:color w:val="000000"/>
          <w:sz w:val="24"/>
        </w:rPr>
      </w:pPr>
    </w:p>
    <w:p>
      <w:pPr>
        <w:ind w:left="120" w:hanging="120"/>
        <w:rPr>
          <w:rFonts w:ascii="宋体" w:hAnsi="宋体" w:cs="宋体"/>
          <w:color w:val="000000"/>
          <w:sz w:val="24"/>
        </w:rPr>
      </w:pPr>
    </w:p>
    <w:p>
      <w:pPr>
        <w:spacing w:before="100" w:beforeAutospacing="1" w:after="100" w:afterAutospacing="1"/>
        <w:ind w:left="120" w:hanging="120"/>
        <w:rPr>
          <w:rFonts w:ascii="宋体" w:hAnsi="宋体" w:cs="宋体"/>
          <w:color w:val="000000"/>
          <w:sz w:val="24"/>
          <w:u w:val="single"/>
        </w:rPr>
      </w:pPr>
      <w:r>
        <w:rPr>
          <w:rFonts w:hint="eastAsia" w:ascii="宋体" w:hAnsi="宋体" w:cs="宋体"/>
          <w:color w:val="000000"/>
          <w:sz w:val="24"/>
        </w:rPr>
        <w:t xml:space="preserve">　投标单位： </w:t>
      </w:r>
      <w:r>
        <w:rPr>
          <w:rFonts w:hint="eastAsia" w:ascii="宋体" w:hAnsi="宋体" w:cs="宋体"/>
          <w:color w:val="000000"/>
          <w:sz w:val="24"/>
          <w:u w:val="single"/>
        </w:rPr>
        <w:t xml:space="preserve">                       （公章）   </w:t>
      </w:r>
    </w:p>
    <w:p>
      <w:pPr>
        <w:ind w:left="120" w:hanging="120"/>
        <w:rPr>
          <w:rFonts w:ascii="宋体" w:hAnsi="宋体" w:cs="宋体"/>
          <w:color w:val="000000"/>
          <w:sz w:val="24"/>
        </w:rPr>
      </w:pPr>
      <w:r>
        <w:rPr>
          <w:rFonts w:hint="eastAsia" w:ascii="宋体" w:hAnsi="宋体" w:cs="宋体"/>
          <w:color w:val="000000"/>
          <w:sz w:val="24"/>
        </w:rPr>
        <w:t xml:space="preserve">  法定代表人或授权代表人（签字或盖章）：</w:t>
      </w:r>
      <w:r>
        <w:rPr>
          <w:rFonts w:hint="eastAsia" w:ascii="宋体" w:hAnsi="宋体" w:cs="宋体"/>
          <w:color w:val="000000"/>
          <w:sz w:val="24"/>
          <w:u w:val="single"/>
        </w:rPr>
        <w:t xml:space="preserve">             </w:t>
      </w:r>
      <w:r>
        <w:rPr>
          <w:rFonts w:hint="eastAsia" w:ascii="宋体" w:hAnsi="宋体" w:cs="宋体"/>
          <w:color w:val="000000"/>
          <w:sz w:val="24"/>
        </w:rPr>
        <w:t>　</w:t>
      </w:r>
    </w:p>
    <w:p>
      <w:pPr>
        <w:ind w:left="120" w:hanging="120"/>
        <w:rPr>
          <w:rFonts w:ascii="宋体" w:hAnsi="宋体" w:cs="宋体"/>
          <w:color w:val="000000"/>
          <w:sz w:val="24"/>
        </w:rPr>
      </w:pPr>
      <w:r>
        <w:rPr>
          <w:rFonts w:hint="eastAsia" w:ascii="宋体" w:hAnsi="宋体" w:cs="宋体"/>
          <w:color w:val="000000"/>
          <w:sz w:val="24"/>
        </w:rPr>
        <w:t xml:space="preserve">      日期：   年   月   日</w:t>
      </w:r>
    </w:p>
    <w:p>
      <w:pPr>
        <w:ind w:left="120" w:hanging="120"/>
        <w:jc w:val="center"/>
        <w:rPr>
          <w:rFonts w:ascii="宋体" w:hAnsi="宋体" w:cs="宋体"/>
          <w:b/>
          <w:color w:val="000000"/>
          <w:kern w:val="0"/>
          <w:sz w:val="24"/>
          <w:lang w:val="zh-CN"/>
        </w:rPr>
      </w:pPr>
      <w:r>
        <w:rPr>
          <w:rFonts w:hint="eastAsia" w:ascii="宋体" w:hAnsi="宋体" w:cs="宋体"/>
          <w:sz w:val="24"/>
        </w:rPr>
        <w:br w:type="page"/>
      </w:r>
      <w:r>
        <w:rPr>
          <w:rFonts w:hint="eastAsia" w:ascii="宋体" w:hAnsi="宋体" w:cs="宋体"/>
          <w:b/>
          <w:color w:val="000000"/>
          <w:kern w:val="0"/>
          <w:sz w:val="24"/>
        </w:rPr>
        <w:t>10、</w:t>
      </w:r>
      <w:r>
        <w:rPr>
          <w:rFonts w:hint="eastAsia" w:ascii="宋体" w:hAnsi="宋体" w:cs="宋体"/>
          <w:b/>
          <w:color w:val="000000"/>
          <w:kern w:val="0"/>
          <w:sz w:val="24"/>
          <w:lang w:val="zh-CN"/>
        </w:rPr>
        <w:t>投标单位（供应商）反商业贿赂承诺书</w:t>
      </w:r>
    </w:p>
    <w:p>
      <w:pPr>
        <w:autoSpaceDE w:val="0"/>
        <w:autoSpaceDN w:val="0"/>
        <w:adjustRightInd w:val="0"/>
        <w:ind w:left="120" w:hanging="120"/>
        <w:jc w:val="left"/>
        <w:rPr>
          <w:rFonts w:ascii="宋体" w:hAnsi="宋体" w:cs="宋体"/>
          <w:color w:val="000000"/>
          <w:kern w:val="0"/>
          <w:sz w:val="24"/>
          <w:lang w:val="zh-CN"/>
        </w:rPr>
      </w:pPr>
      <w:r>
        <w:rPr>
          <w:rFonts w:hint="eastAsia" w:ascii="宋体" w:hAnsi="宋体" w:cs="宋体"/>
          <w:color w:val="000000"/>
          <w:kern w:val="0"/>
          <w:sz w:val="24"/>
          <w:lang w:val="zh-CN"/>
        </w:rPr>
        <w:t xml:space="preserve">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 xml:space="preserve">    在</w:t>
      </w:r>
      <w:r>
        <w:rPr>
          <w:rFonts w:hint="eastAsia" w:ascii="宋体" w:hAnsi="宋体" w:cs="宋体"/>
          <w:color w:val="000000"/>
          <w:kern w:val="0"/>
          <w:sz w:val="24"/>
          <w:u w:val="single"/>
        </w:rPr>
        <w:t xml:space="preserve">          </w:t>
      </w:r>
      <w:r>
        <w:rPr>
          <w:rFonts w:hint="eastAsia" w:ascii="宋体" w:hAnsi="宋体" w:cs="宋体"/>
          <w:color w:val="000000"/>
          <w:kern w:val="0"/>
          <w:sz w:val="24"/>
        </w:rPr>
        <w:t>号（</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项目）招标活动中，我公司承诺如下 ：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 xml:space="preserve">    1、不给予国家工作人员及其亲属各种形式的商业贿赂（包括送礼金礼品、有价证券、购物券、回扣、佣金、咨询费、劳务费、赞助费、宣传费、支付旅游费用、报销各种消费凭证、宴请、娱乐等）；</w:t>
      </w:r>
    </w:p>
    <w:p>
      <w:pPr>
        <w:autoSpaceDE w:val="0"/>
        <w:autoSpaceDN w:val="0"/>
        <w:adjustRightInd w:val="0"/>
        <w:ind w:left="120" w:hanging="120"/>
        <w:jc w:val="left"/>
        <w:rPr>
          <w:rFonts w:ascii="宋体" w:hAnsi="宋体" w:cs="宋体"/>
          <w:color w:val="000000"/>
          <w:kern w:val="0"/>
          <w:sz w:val="24"/>
        </w:rPr>
      </w:pPr>
      <w:r>
        <w:rPr>
          <w:rFonts w:hint="eastAsia" w:ascii="宋体" w:hAnsi="宋体" w:cs="宋体"/>
          <w:color w:val="000000"/>
          <w:kern w:val="0"/>
          <w:sz w:val="24"/>
        </w:rPr>
        <w:t xml:space="preserve">    2、不与投标人相互勾结私下协议，弄虚作假，搞假招标、陪标、串通投标，明招暗定，暗箱操作。</w:t>
      </w:r>
    </w:p>
    <w:p>
      <w:pPr>
        <w:ind w:left="120" w:hanging="120"/>
        <w:jc w:val="left"/>
        <w:rPr>
          <w:rFonts w:ascii="宋体" w:hAnsi="宋体" w:cs="宋体"/>
          <w:color w:val="000000"/>
          <w:kern w:val="0"/>
          <w:sz w:val="24"/>
        </w:rPr>
      </w:pPr>
      <w:r>
        <w:rPr>
          <w:rFonts w:hint="eastAsia" w:ascii="宋体" w:hAnsi="宋体" w:cs="宋体"/>
          <w:color w:val="000000"/>
          <w:kern w:val="0"/>
          <w:sz w:val="24"/>
        </w:rPr>
        <w:t xml:space="preserve">    3、我公司法人及项目参与人员有亲戚担任业主方副科级以上领导职务时，自愿放弃此次投标权。</w:t>
      </w:r>
    </w:p>
    <w:p>
      <w:pPr>
        <w:autoSpaceDE w:val="0"/>
        <w:autoSpaceDN w:val="0"/>
        <w:adjustRightInd w:val="0"/>
        <w:ind w:left="120" w:hanging="120"/>
        <w:jc w:val="left"/>
        <w:rPr>
          <w:rFonts w:ascii="宋体" w:hAnsi="宋体" w:cs="宋体"/>
          <w:color w:val="000000"/>
          <w:kern w:val="0"/>
          <w:sz w:val="24"/>
        </w:rPr>
      </w:pPr>
      <w:r>
        <w:rPr>
          <w:rFonts w:hint="eastAsia" w:ascii="宋体" w:hAnsi="宋体" w:cs="宋体"/>
          <w:color w:val="000000"/>
          <w:kern w:val="0"/>
          <w:sz w:val="24"/>
        </w:rPr>
        <w:t xml:space="preserve">    如有上述行为，一经发现，我公司及项目参与人员愿意按照《政府采购法》、《招投标法》、《反不正当竞争法》的有关规定接受处罚。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 xml:space="preserve">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公司法人代表：（签字）</w:t>
      </w:r>
      <w:r>
        <w:rPr>
          <w:rFonts w:hint="eastAsia" w:ascii="宋体" w:hAnsi="宋体" w:cs="宋体"/>
          <w:color w:val="000000"/>
          <w:kern w:val="0"/>
          <w:sz w:val="24"/>
          <w:u w:val="single"/>
        </w:rPr>
        <w:t xml:space="preserve">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法人授权代表：（签字）</w:t>
      </w:r>
      <w:r>
        <w:rPr>
          <w:rFonts w:hint="eastAsia" w:ascii="宋体" w:hAnsi="宋体" w:cs="宋体"/>
          <w:color w:val="000000"/>
          <w:kern w:val="0"/>
          <w:sz w:val="24"/>
          <w:u w:val="single"/>
        </w:rPr>
        <w:t xml:space="preserve">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项 目 经 理： （签字）</w:t>
      </w:r>
      <w:r>
        <w:rPr>
          <w:rFonts w:hint="eastAsia" w:ascii="宋体" w:hAnsi="宋体" w:cs="宋体"/>
          <w:color w:val="000000"/>
          <w:kern w:val="0"/>
          <w:sz w:val="24"/>
          <w:u w:val="single"/>
        </w:rPr>
        <w:t xml:space="preserve">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 xml:space="preserve">                                       </w:t>
      </w:r>
    </w:p>
    <w:p>
      <w:pPr>
        <w:autoSpaceDE w:val="0"/>
        <w:autoSpaceDN w:val="0"/>
        <w:adjustRightInd w:val="0"/>
        <w:ind w:left="120" w:hanging="120"/>
        <w:jc w:val="center"/>
        <w:outlineLvl w:val="0"/>
        <w:rPr>
          <w:rFonts w:ascii="宋体" w:hAnsi="宋体" w:cs="宋体"/>
          <w:color w:val="000000"/>
          <w:kern w:val="0"/>
          <w:sz w:val="24"/>
          <w:u w:val="single"/>
        </w:rPr>
      </w:pPr>
      <w:r>
        <w:rPr>
          <w:rFonts w:hint="eastAsia" w:ascii="宋体" w:hAnsi="宋体" w:cs="宋体"/>
          <w:color w:val="000000"/>
          <w:kern w:val="0"/>
          <w:sz w:val="24"/>
          <w:u w:val="single"/>
        </w:rPr>
        <w:t xml:space="preserve">       </w:t>
      </w:r>
      <w:bookmarkStart w:id="46" w:name="_Toc3410"/>
      <w:r>
        <w:rPr>
          <w:rFonts w:hint="eastAsia" w:ascii="宋体" w:hAnsi="宋体" w:cs="宋体"/>
          <w:color w:val="000000"/>
          <w:kern w:val="0"/>
          <w:sz w:val="24"/>
          <w:u w:val="single"/>
        </w:rPr>
        <w:t>公司签章</w:t>
      </w:r>
      <w:bookmarkEnd w:id="46"/>
      <w:r>
        <w:rPr>
          <w:rFonts w:hint="eastAsia" w:ascii="宋体" w:hAnsi="宋体" w:cs="宋体"/>
          <w:color w:val="000000"/>
          <w:kern w:val="0"/>
          <w:sz w:val="24"/>
          <w:u w:val="single"/>
        </w:rPr>
        <w:t xml:space="preserve">       </w:t>
      </w:r>
    </w:p>
    <w:p>
      <w:pPr>
        <w:autoSpaceDE w:val="0"/>
        <w:autoSpaceDN w:val="0"/>
        <w:adjustRightInd w:val="0"/>
        <w:ind w:left="120" w:hanging="120"/>
        <w:rPr>
          <w:rFonts w:ascii="宋体" w:hAnsi="宋体" w:cs="宋体"/>
          <w:sz w:val="24"/>
        </w:rPr>
      </w:pPr>
      <w:r>
        <w:rPr>
          <w:rFonts w:hint="eastAsia" w:ascii="宋体" w:hAnsi="宋体" w:cs="宋体"/>
          <w:color w:val="000000"/>
          <w:kern w:val="0"/>
          <w:sz w:val="24"/>
        </w:rPr>
        <w:t xml:space="preserve">                       年      月     日</w:t>
      </w: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ind w:left="120" w:hanging="120"/>
        <w:jc w:val="center"/>
        <w:rPr>
          <w:rFonts w:ascii="宋体" w:hAnsi="宋体" w:cs="宋体"/>
          <w:b/>
          <w:sz w:val="24"/>
        </w:rPr>
      </w:pPr>
      <w:r>
        <w:rPr>
          <w:rFonts w:hint="eastAsia" w:ascii="宋体" w:hAnsi="宋体" w:cs="宋体"/>
          <w:b/>
          <w:sz w:val="24"/>
        </w:rPr>
        <w:t>11、服务承诺书</w:t>
      </w:r>
    </w:p>
    <w:p>
      <w:pPr>
        <w:ind w:left="120" w:hanging="120"/>
        <w:jc w:val="left"/>
        <w:rPr>
          <w:rFonts w:hint="default" w:ascii="宋体" w:hAnsi="宋体" w:eastAsia="宋体" w:cs="宋体"/>
          <w:sz w:val="24"/>
          <w:lang w:val="en-US" w:eastAsia="zh-CN"/>
        </w:rPr>
      </w:pPr>
      <w:r>
        <w:rPr>
          <w:rFonts w:hint="eastAsia" w:ascii="宋体" w:hAnsi="宋体" w:cs="宋体"/>
          <w:sz w:val="24"/>
        </w:rPr>
        <w:t>致：</w:t>
      </w:r>
      <w:r>
        <w:rPr>
          <w:rFonts w:hint="eastAsia" w:ascii="宋体" w:hAnsi="宋体" w:cs="宋体"/>
          <w:sz w:val="24"/>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shd w:val="clear"/>
          <w:lang w:val="en-US" w:eastAsia="zh-CN" w:bidi="ar-SA"/>
        </w:rPr>
        <w:t>和田市住房和城乡建设局</w:t>
      </w:r>
    </w:p>
    <w:p>
      <w:pPr>
        <w:ind w:left="120" w:hanging="120"/>
        <w:jc w:val="left"/>
        <w:rPr>
          <w:rFonts w:ascii="宋体" w:hAnsi="宋体" w:cs="宋体"/>
          <w:sz w:val="24"/>
        </w:rPr>
      </w:pPr>
      <w:r>
        <w:rPr>
          <w:rFonts w:hint="eastAsia" w:ascii="宋体" w:hAnsi="宋体" w:cs="宋体"/>
          <w:sz w:val="24"/>
        </w:rPr>
        <w:t xml:space="preserve">    我公司作为</w:t>
      </w:r>
      <w:r>
        <w:rPr>
          <w:rFonts w:hint="eastAsia" w:ascii="宋体" w:hAnsi="宋体" w:cs="宋体"/>
          <w:sz w:val="24"/>
          <w:u w:val="single"/>
        </w:rPr>
        <w:t xml:space="preserve">                                    </w:t>
      </w:r>
      <w:r>
        <w:rPr>
          <w:rFonts w:hint="eastAsia" w:ascii="宋体" w:hAnsi="宋体" w:cs="宋体"/>
          <w:sz w:val="24"/>
        </w:rPr>
        <w:t>中标人，在此郑重承诺：如果在此次投标过程中或者在中标后，招标人或者有管辖权的招标投标行政监管机构发现并查实我公司在所填报的该项目投标文件中存在提供虚假或不真实的信息或者伪造数据、资料或证书等情况，不管招标人或有管辖权的招标投标监管机构是否有合法的处罚依据，我公司将无条件地自动放弃该项目地投标资格和中标资格；如我单位成为中标候选人，在2020年度如我公司因企业名称、资质等级、企业法人、注册资金和性质、主管人员、投标人员、办公地点等情况发生变化，我公司会在发生变化后5日内以书面形式通知业主单位，上述内容发生变化后，不能满足业主单位规定的条件，我公司的该项目中标资格</w:t>
      </w:r>
      <w:r>
        <w:rPr>
          <w:rFonts w:hint="eastAsia" w:ascii="宋体" w:hAnsi="宋体" w:cs="宋体"/>
          <w:color w:val="0000FF"/>
          <w:sz w:val="24"/>
        </w:rPr>
        <w:t>自动解除</w:t>
      </w:r>
      <w:r>
        <w:rPr>
          <w:rFonts w:hint="eastAsia" w:ascii="宋体" w:hAnsi="宋体" w:cs="宋体"/>
          <w:sz w:val="24"/>
        </w:rPr>
        <w:t>。在2020年度如我公司被有关行政管理部门、行业协会、司法机构给予处理、处罚或追究法律责任，我公司中标资格</w:t>
      </w:r>
      <w:r>
        <w:rPr>
          <w:rFonts w:hint="eastAsia" w:ascii="宋体" w:hAnsi="宋体" w:cs="宋体"/>
          <w:color w:val="0000FF"/>
          <w:sz w:val="24"/>
        </w:rPr>
        <w:t>自动解除</w:t>
      </w:r>
      <w:r>
        <w:rPr>
          <w:rFonts w:hint="eastAsia" w:ascii="宋体" w:hAnsi="宋体" w:cs="宋体"/>
          <w:sz w:val="24"/>
        </w:rPr>
        <w:t>。我公司无条件地承认，我公司所收到的中标通知书为无效文件，对招标人不具备任何法律约束力；如发生上述几种情况由此造成的任何后果和损失均由我公司承担。</w:t>
      </w:r>
    </w:p>
    <w:p>
      <w:pPr>
        <w:ind w:left="120" w:hanging="120"/>
        <w:jc w:val="left"/>
        <w:rPr>
          <w:rFonts w:ascii="宋体" w:hAnsi="宋体" w:cs="宋体"/>
          <w:sz w:val="24"/>
        </w:rPr>
      </w:pPr>
      <w:r>
        <w:rPr>
          <w:rFonts w:hint="eastAsia" w:ascii="宋体" w:hAnsi="宋体" w:cs="宋体"/>
          <w:sz w:val="24"/>
        </w:rPr>
        <w:t xml:space="preserve">    我公司郑重承诺：如我公司成为</w:t>
      </w:r>
      <w:r>
        <w:rPr>
          <w:rFonts w:hint="eastAsia" w:ascii="宋体" w:hAnsi="宋体" w:cs="宋体"/>
          <w:sz w:val="24"/>
          <w:lang w:val="en-US" w:eastAsia="zh-CN"/>
        </w:rPr>
        <w:t>和田市住房和城乡建设局</w:t>
      </w:r>
      <w:r>
        <w:rPr>
          <w:rFonts w:hint="eastAsia" w:ascii="宋体" w:hAnsi="宋体" w:cs="宋体"/>
          <w:sz w:val="24"/>
        </w:rPr>
        <w:t>服务机构中标单位，在服务期内必须服从业主单位的领导和管理。</w:t>
      </w:r>
    </w:p>
    <w:p>
      <w:pPr>
        <w:ind w:left="120" w:hanging="120"/>
        <w:jc w:val="left"/>
        <w:rPr>
          <w:rFonts w:ascii="宋体" w:hAnsi="宋体" w:cs="宋体"/>
          <w:sz w:val="24"/>
        </w:rPr>
      </w:pPr>
      <w:r>
        <w:rPr>
          <w:rFonts w:hint="eastAsia" w:ascii="宋体" w:hAnsi="宋体" w:cs="宋体"/>
          <w:sz w:val="24"/>
        </w:rPr>
        <w:t xml:space="preserve">     以上承诺是我公司投标文件的有效组成内容，也是我公司在以后</w:t>
      </w:r>
      <w:r>
        <w:rPr>
          <w:rFonts w:hint="eastAsia" w:ascii="宋体" w:hAnsi="宋体" w:cs="宋体"/>
          <w:color w:val="auto"/>
          <w:sz w:val="24"/>
        </w:rPr>
        <w:t>与</w:t>
      </w:r>
      <w:r>
        <w:rPr>
          <w:rFonts w:hint="eastAsia" w:ascii="宋体" w:hAnsi="宋体" w:cs="宋体"/>
          <w:color w:val="auto"/>
          <w:sz w:val="24"/>
          <w:lang w:val="en-US" w:eastAsia="zh-CN"/>
        </w:rPr>
        <w:t>和田市住房和城乡建设局</w:t>
      </w:r>
      <w:r>
        <w:rPr>
          <w:rFonts w:hint="eastAsia" w:ascii="宋体" w:hAnsi="宋体" w:cs="宋体"/>
          <w:sz w:val="24"/>
        </w:rPr>
        <w:t>签订有关协议有效组成内容，是我公司真实意思表示，对我公司在该项目有关的任何行为中始终具有优先的法律约束力。</w:t>
      </w:r>
    </w:p>
    <w:p>
      <w:pPr>
        <w:ind w:left="120" w:hanging="120"/>
        <w:jc w:val="left"/>
        <w:rPr>
          <w:rFonts w:ascii="宋体" w:hAnsi="宋体" w:cs="宋体"/>
          <w:sz w:val="24"/>
        </w:rPr>
      </w:pPr>
      <w:r>
        <w:rPr>
          <w:rFonts w:hint="eastAsia" w:ascii="宋体" w:hAnsi="宋体" w:cs="宋体"/>
          <w:sz w:val="24"/>
        </w:rPr>
        <w:t xml:space="preserve">    如您们需要我们提供任何进一步资料，请与下述人员联系：</w:t>
      </w:r>
    </w:p>
    <w:p>
      <w:pPr>
        <w:ind w:left="120" w:hanging="120"/>
        <w:jc w:val="left"/>
        <w:rPr>
          <w:rFonts w:ascii="宋体" w:hAnsi="宋体" w:cs="宋体"/>
          <w:sz w:val="24"/>
        </w:rPr>
      </w:pPr>
      <w:r>
        <w:rPr>
          <w:rFonts w:hint="eastAsia" w:ascii="宋体" w:hAnsi="宋体" w:cs="宋体"/>
          <w:sz w:val="24"/>
        </w:rPr>
        <w:t>姓名：                                      职务：</w:t>
      </w:r>
    </w:p>
    <w:p>
      <w:pPr>
        <w:ind w:left="120" w:hanging="120"/>
        <w:jc w:val="left"/>
        <w:rPr>
          <w:rFonts w:ascii="宋体" w:hAnsi="宋体" w:cs="宋体"/>
          <w:sz w:val="24"/>
        </w:rPr>
      </w:pPr>
      <w:r>
        <w:rPr>
          <w:rFonts w:hint="eastAsia" w:ascii="宋体" w:hAnsi="宋体" w:cs="宋体"/>
          <w:sz w:val="24"/>
        </w:rPr>
        <w:t>联系电话和地址：</w:t>
      </w:r>
    </w:p>
    <w:p>
      <w:pPr>
        <w:ind w:left="120" w:hanging="120"/>
        <w:jc w:val="left"/>
        <w:rPr>
          <w:rFonts w:ascii="宋体" w:hAnsi="宋体" w:cs="宋体"/>
          <w:sz w:val="24"/>
        </w:rPr>
      </w:pPr>
    </w:p>
    <w:p>
      <w:pPr>
        <w:ind w:left="120" w:hanging="120"/>
        <w:jc w:val="left"/>
        <w:rPr>
          <w:rFonts w:ascii="宋体" w:hAnsi="宋体" w:cs="宋体"/>
          <w:sz w:val="24"/>
        </w:rPr>
      </w:pPr>
      <w:r>
        <w:rPr>
          <w:rFonts w:hint="eastAsia" w:ascii="宋体" w:hAnsi="宋体" w:cs="宋体"/>
          <w:sz w:val="24"/>
        </w:rPr>
        <w:t>投标人</w:t>
      </w:r>
      <w:r>
        <w:rPr>
          <w:rFonts w:hint="eastAsia" w:ascii="宋体" w:hAnsi="宋体" w:cs="宋体"/>
          <w:sz w:val="24"/>
          <w:lang w:eastAsia="zh-CN"/>
        </w:rPr>
        <w:t>：</w:t>
      </w:r>
      <w:r>
        <w:rPr>
          <w:rFonts w:hint="eastAsia" w:ascii="宋体" w:hAnsi="宋体" w:cs="宋体"/>
          <w:sz w:val="24"/>
          <w:u w:val="single"/>
          <w:lang w:val="en-US" w:eastAsia="zh-CN"/>
        </w:rPr>
        <w:t xml:space="preserve">                    </w:t>
      </w:r>
      <w:r>
        <w:rPr>
          <w:rFonts w:hint="eastAsia" w:ascii="宋体" w:hAnsi="宋体" w:cs="宋体"/>
          <w:sz w:val="24"/>
        </w:rPr>
        <w:t>（公章）</w:t>
      </w:r>
    </w:p>
    <w:p>
      <w:pPr>
        <w:ind w:left="120" w:hanging="120"/>
        <w:jc w:val="left"/>
        <w:rPr>
          <w:rFonts w:ascii="宋体" w:hAnsi="宋体" w:cs="宋体"/>
          <w:sz w:val="24"/>
        </w:rPr>
      </w:pPr>
      <w:r>
        <w:rPr>
          <w:rFonts w:hint="eastAsia" w:ascii="宋体" w:hAnsi="宋体" w:cs="宋体"/>
          <w:sz w:val="24"/>
        </w:rPr>
        <w:t>法定代表人</w:t>
      </w:r>
      <w:r>
        <w:rPr>
          <w:rFonts w:hint="eastAsia" w:ascii="宋体" w:hAnsi="宋体" w:cs="宋体"/>
          <w:sz w:val="24"/>
          <w:lang w:eastAsia="zh-CN"/>
        </w:rPr>
        <w:t>：</w:t>
      </w:r>
      <w:r>
        <w:rPr>
          <w:rFonts w:hint="eastAsia" w:ascii="宋体" w:hAnsi="宋体" w:cs="宋体"/>
          <w:sz w:val="24"/>
          <w:u w:val="single"/>
          <w:lang w:val="en-US" w:eastAsia="zh-CN"/>
        </w:rPr>
        <w:t xml:space="preserve">                </w:t>
      </w:r>
      <w:r>
        <w:rPr>
          <w:rFonts w:hint="eastAsia" w:ascii="宋体" w:hAnsi="宋体" w:cs="宋体"/>
          <w:sz w:val="24"/>
        </w:rPr>
        <w:t>（签字）</w:t>
      </w:r>
    </w:p>
    <w:p>
      <w:pPr>
        <w:spacing w:line="640" w:lineRule="exact"/>
        <w:ind w:left="120" w:hanging="120"/>
        <w:rPr>
          <w:rFonts w:ascii="宋体" w:hAnsi="宋体" w:cs="宋体"/>
          <w:sz w:val="24"/>
        </w:rPr>
      </w:pPr>
      <w:r>
        <w:rPr>
          <w:rFonts w:hint="eastAsia" w:ascii="宋体" w:hAnsi="宋体" w:cs="宋体"/>
          <w:sz w:val="24"/>
        </w:rPr>
        <w:t xml:space="preserve">日 期:                      </w:t>
      </w:r>
    </w:p>
    <w:p>
      <w:pPr>
        <w:ind w:left="120" w:hanging="120"/>
        <w:jc w:val="left"/>
        <w:rPr>
          <w:rFonts w:ascii="宋体" w:hAnsi="宋体" w:cs="宋体"/>
          <w:sz w:val="24"/>
        </w:rPr>
      </w:pPr>
    </w:p>
    <w:p>
      <w:pPr>
        <w:ind w:left="120" w:hanging="120"/>
        <w:jc w:val="left"/>
        <w:rPr>
          <w:rFonts w:ascii="宋体" w:hAnsi="宋体" w:cs="宋体"/>
          <w:sz w:val="24"/>
        </w:rPr>
      </w:pPr>
    </w:p>
    <w:p>
      <w:pPr>
        <w:ind w:left="120" w:hanging="120"/>
        <w:rPr>
          <w:rFonts w:ascii="宋体" w:hAnsi="宋体" w:cs="宋体"/>
          <w:b/>
          <w:bCs/>
          <w:color w:val="000000"/>
          <w:sz w:val="24"/>
        </w:rPr>
      </w:pPr>
    </w:p>
    <w:p>
      <w:pPr>
        <w:pStyle w:val="6"/>
        <w:numPr>
          <w:ilvl w:val="3"/>
          <w:numId w:val="0"/>
        </w:numPr>
        <w:bidi w:val="0"/>
        <w:ind w:right="62" w:rightChars="0" w:firstLine="2409" w:firstLineChars="1000"/>
        <w:rPr>
          <w:rFonts w:hint="eastAsia" w:ascii="宋体" w:hAnsi="宋体" w:eastAsia="宋体" w:cs="宋体"/>
          <w:b/>
          <w:bCs w:val="0"/>
          <w:kern w:val="2"/>
          <w:sz w:val="24"/>
          <w:szCs w:val="24"/>
          <w:lang w:val="en-US" w:eastAsia="zh-CN" w:bidi="ar-SA"/>
        </w:rPr>
      </w:pPr>
      <w:bookmarkStart w:id="47" w:name="_Toc5425"/>
      <w:bookmarkStart w:id="48" w:name="_Toc26203"/>
      <w:bookmarkStart w:id="49" w:name="_Toc13017"/>
      <w:bookmarkStart w:id="50" w:name="_Toc19298"/>
      <w:r>
        <w:rPr>
          <w:rFonts w:hint="eastAsia" w:ascii="宋体" w:hAnsi="宋体" w:eastAsia="宋体" w:cs="宋体"/>
          <w:b/>
          <w:bCs w:val="0"/>
          <w:kern w:val="2"/>
          <w:sz w:val="24"/>
          <w:szCs w:val="24"/>
          <w:lang w:val="en-US" w:eastAsia="zh-CN" w:bidi="ar-SA"/>
        </w:rPr>
        <w:t>12、中小企业声明函（符合本声明函填写）</w:t>
      </w:r>
      <w:bookmarkEnd w:id="47"/>
      <w:bookmarkEnd w:id="48"/>
      <w:bookmarkEnd w:id="49"/>
      <w:bookmarkEnd w:id="50"/>
    </w:p>
    <w:p>
      <w:pPr>
        <w:pStyle w:val="9"/>
        <w:keepNext w:val="0"/>
        <w:keepLines w:val="0"/>
        <w:pageBreakBefore w:val="0"/>
        <w:widowControl w:val="0"/>
        <w:tabs>
          <w:tab w:val="left" w:pos="3943"/>
        </w:tabs>
        <w:kinsoku w:val="0"/>
        <w:wordWrap/>
        <w:overflowPunct w:val="0"/>
        <w:topLinePunct w:val="0"/>
        <w:autoSpaceDE/>
        <w:autoSpaceDN/>
        <w:bidi w:val="0"/>
        <w:adjustRightInd/>
        <w:snapToGrid/>
        <w:spacing w:line="440" w:lineRule="exact"/>
        <w:ind w:right="232" w:firstLine="48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本公司郑重声明，根据《政府采购促进中小企业发展暂行办法》（财库[2011]181 号）的规定，本公司为</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（请填写：中型、小型、微型）企业。即，本公司 同时满足以下条件：</w:t>
      </w:r>
    </w:p>
    <w:p>
      <w:pPr>
        <w:pStyle w:val="9"/>
        <w:keepNext w:val="0"/>
        <w:keepLines w:val="0"/>
        <w:pageBreakBefore w:val="0"/>
        <w:widowControl w:val="0"/>
        <w:tabs>
          <w:tab w:val="left" w:pos="1558"/>
        </w:tabs>
        <w:kinsoku w:val="0"/>
        <w:wordWrap/>
        <w:overflowPunct w:val="0"/>
        <w:topLinePunct w:val="0"/>
        <w:autoSpaceDE/>
        <w:autoSpaceDN/>
        <w:bidi w:val="0"/>
        <w:adjustRightInd/>
        <w:snapToGrid/>
        <w:spacing w:before="71" w:line="440" w:lineRule="exact"/>
        <w:ind w:right="234" w:firstLine="48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1.根据《工业和信息化部、国家统计局、国家发展和改革委员会、财政部关于印发 中小企业划型标准规定的通知》（工信部联企业[2011]300 号）规定的划分标准，本公 司为</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（请填写：中型、小型、微型）企业。</w:t>
      </w:r>
    </w:p>
    <w:p>
      <w:pPr>
        <w:pStyle w:val="9"/>
        <w:keepNext w:val="0"/>
        <w:keepLines w:val="0"/>
        <w:pageBreakBefore w:val="0"/>
        <w:widowControl w:val="0"/>
        <w:tabs>
          <w:tab w:val="left" w:pos="3919"/>
          <w:tab w:val="left" w:pos="6264"/>
          <w:tab w:val="left" w:pos="7399"/>
        </w:tabs>
        <w:kinsoku w:val="0"/>
        <w:wordWrap/>
        <w:overflowPunct w:val="0"/>
        <w:topLinePunct w:val="0"/>
        <w:autoSpaceDE/>
        <w:autoSpaceDN/>
        <w:bidi w:val="0"/>
        <w:adjustRightInd/>
        <w:snapToGrid/>
        <w:spacing w:before="71" w:line="440" w:lineRule="exact"/>
        <w:ind w:right="114" w:firstLine="48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2.本公司参加</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单位的</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项目采购活动提供本企业制 造的货物，由本企业承担工程、提供服务，或者提供其他</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（请填写中型、 小型、微型）企业制造的货物。本条所称货物不包括使用大型企业注册商标的货物。</w:t>
      </w:r>
    </w:p>
    <w:p>
      <w:pPr>
        <w:pStyle w:val="9"/>
        <w:keepNext w:val="0"/>
        <w:keepLines w:val="0"/>
        <w:pageBreakBefore w:val="0"/>
        <w:widowControl w:val="0"/>
        <w:kinsoku w:val="0"/>
        <w:wordWrap/>
        <w:overflowPunct w:val="0"/>
        <w:topLinePunct w:val="0"/>
        <w:autoSpaceDE/>
        <w:autoSpaceDN/>
        <w:bidi w:val="0"/>
        <w:adjustRightInd/>
        <w:snapToGrid/>
        <w:spacing w:before="71" w:line="440" w:lineRule="exact"/>
        <w:ind w:right="234" w:firstLine="48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3.提交本声明函的投标人必须在响应性文件中提供相应的证明材料并对材料的真实性负法律责任。证明材料包括：上一年度及上一月的财务报表；从业人员名单及工资发放明细表。</w:t>
      </w:r>
    </w:p>
    <w:p>
      <w:pPr>
        <w:pStyle w:val="9"/>
        <w:keepNext w:val="0"/>
        <w:keepLines w:val="0"/>
        <w:pageBreakBefore w:val="0"/>
        <w:widowControl w:val="0"/>
        <w:kinsoku w:val="0"/>
        <w:wordWrap/>
        <w:overflowPunct w:val="0"/>
        <w:topLinePunct w:val="0"/>
        <w:autoSpaceDE/>
        <w:autoSpaceDN/>
        <w:bidi w:val="0"/>
        <w:adjustRightInd/>
        <w:snapToGrid/>
        <w:spacing w:before="71" w:line="440" w:lineRule="exact"/>
        <w:ind w:left="598"/>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本公司对上述声明的真实性负责。如有虚假，将依法承担相应责任。</w:t>
      </w:r>
    </w:p>
    <w:p>
      <w:pPr>
        <w:pStyle w:val="9"/>
        <w:keepNext w:val="0"/>
        <w:keepLines w:val="0"/>
        <w:pageBreakBefore w:val="0"/>
        <w:widowControl w:val="0"/>
        <w:tabs>
          <w:tab w:val="left" w:pos="8107"/>
          <w:tab w:val="left" w:pos="8227"/>
        </w:tabs>
        <w:kinsoku w:val="0"/>
        <w:wordWrap/>
        <w:overflowPunct w:val="0"/>
        <w:topLinePunct w:val="0"/>
        <w:autoSpaceDE/>
        <w:autoSpaceDN/>
        <w:bidi w:val="0"/>
        <w:adjustRightInd/>
        <w:snapToGrid/>
        <w:spacing w:line="440" w:lineRule="exact"/>
        <w:ind w:left="4027" w:right="118"/>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投标单位：</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 xml:space="preserve">（盖章） </w:t>
      </w:r>
    </w:p>
    <w:p>
      <w:pPr>
        <w:pStyle w:val="9"/>
        <w:keepNext w:val="0"/>
        <w:keepLines w:val="0"/>
        <w:pageBreakBefore w:val="0"/>
        <w:widowControl w:val="0"/>
        <w:tabs>
          <w:tab w:val="left" w:pos="8107"/>
          <w:tab w:val="left" w:pos="8227"/>
        </w:tabs>
        <w:kinsoku w:val="0"/>
        <w:wordWrap/>
        <w:overflowPunct w:val="0"/>
        <w:topLinePunct w:val="0"/>
        <w:autoSpaceDE/>
        <w:autoSpaceDN/>
        <w:bidi w:val="0"/>
        <w:adjustRightInd/>
        <w:snapToGrid/>
        <w:spacing w:line="440" w:lineRule="exact"/>
        <w:ind w:left="4027" w:right="118"/>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法定代表人或被授权人：</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（签字）</w:t>
      </w:r>
    </w:p>
    <w:p>
      <w:pPr>
        <w:pStyle w:val="9"/>
        <w:keepNext w:val="0"/>
        <w:keepLines w:val="0"/>
        <w:pageBreakBefore w:val="0"/>
        <w:widowControl w:val="0"/>
        <w:tabs>
          <w:tab w:val="left" w:pos="6187"/>
          <w:tab w:val="left" w:pos="7147"/>
          <w:tab w:val="left" w:pos="7747"/>
          <w:tab w:val="left" w:pos="8347"/>
        </w:tabs>
        <w:kinsoku w:val="0"/>
        <w:wordWrap/>
        <w:overflowPunct w:val="0"/>
        <w:topLinePunct w:val="0"/>
        <w:autoSpaceDE/>
        <w:autoSpaceDN/>
        <w:bidi w:val="0"/>
        <w:adjustRightInd/>
        <w:snapToGrid/>
        <w:spacing w:before="46" w:line="440" w:lineRule="exact"/>
        <w:ind w:left="239" w:leftChars="114" w:firstLine="1560" w:firstLineChars="65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日期：  年  月  日</w:t>
      </w:r>
    </w:p>
    <w:p>
      <w:pPr>
        <w:pStyle w:val="9"/>
        <w:keepNext w:val="0"/>
        <w:keepLines w:val="0"/>
        <w:pageBreakBefore w:val="0"/>
        <w:widowControl w:val="0"/>
        <w:kinsoku w:val="0"/>
        <w:wordWrap/>
        <w:overflowPunct w:val="0"/>
        <w:topLinePunct w:val="0"/>
        <w:autoSpaceDE/>
        <w:autoSpaceDN/>
        <w:bidi w:val="0"/>
        <w:adjustRightInd/>
        <w:snapToGrid/>
        <w:spacing w:line="440" w:lineRule="exac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说明：</w:t>
      </w:r>
    </w:p>
    <w:p>
      <w:pPr>
        <w:pStyle w:val="9"/>
        <w:keepNext w:val="0"/>
        <w:keepLines w:val="0"/>
        <w:pageBreakBefore w:val="0"/>
        <w:widowControl w:val="0"/>
        <w:kinsoku w:val="0"/>
        <w:wordWrap/>
        <w:overflowPunct w:val="0"/>
        <w:topLinePunct w:val="0"/>
        <w:autoSpaceDE/>
        <w:autoSpaceDN/>
        <w:bidi w:val="0"/>
        <w:adjustRightInd/>
        <w:snapToGrid/>
        <w:spacing w:before="133" w:line="440" w:lineRule="exact"/>
        <w:ind w:right="248" w:firstLine="42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1、填写前请认真阅读《工业和信息化部、国家统计局、国家发展和改革委员会、财政部关 于印发中小企业划型标准规定的通知》（工信部联企业[2011]300 号）和《财政部工业和信息 化部关于印发＜政府采购促进中小企业发展暂行办法＞的通知》(财库[2011]181号)相关规定</w:t>
      </w:r>
    </w:p>
    <w:p>
      <w:pPr>
        <w:pStyle w:val="9"/>
        <w:keepNext w:val="0"/>
        <w:keepLines w:val="0"/>
        <w:pageBreakBefore w:val="0"/>
        <w:widowControl w:val="0"/>
        <w:kinsoku w:val="0"/>
        <w:wordWrap/>
        <w:overflowPunct w:val="0"/>
        <w:topLinePunct w:val="0"/>
        <w:autoSpaceDE/>
        <w:autoSpaceDN/>
        <w:bidi w:val="0"/>
        <w:adjustRightInd/>
        <w:snapToGrid/>
        <w:spacing w:before="133" w:line="440" w:lineRule="exact"/>
        <w:ind w:right="248" w:firstLine="42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2、中小企业部分提供其他中小企业制造货物的应另附说明，并与开标一览表保持一致。</w:t>
      </w:r>
    </w:p>
    <w:p>
      <w:pPr>
        <w:pStyle w:val="58"/>
        <w:spacing w:before="120" w:line="360" w:lineRule="auto"/>
        <w:ind w:firstLine="405"/>
        <w:rPr>
          <w:rFonts w:hint="eastAsia" w:ascii="宋体" w:hAnsi="宋体" w:cs="宋体"/>
          <w:color w:val="000000"/>
          <w:sz w:val="24"/>
          <w:szCs w:val="24"/>
        </w:rPr>
      </w:pPr>
    </w:p>
    <w:p>
      <w:pPr>
        <w:ind w:left="120" w:hanging="120"/>
        <w:jc w:val="center"/>
        <w:rPr>
          <w:rFonts w:hint="eastAsia" w:ascii="宋体" w:hAnsi="宋体" w:cs="宋体"/>
          <w:b/>
          <w:bCs/>
          <w:color w:val="000000"/>
          <w:sz w:val="24"/>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r>
        <w:rPr>
          <w:rFonts w:hint="eastAsia" w:ascii="宋体" w:hAnsi="宋体" w:cs="宋体"/>
          <w:b/>
          <w:bCs/>
          <w:color w:val="000000"/>
          <w:sz w:val="24"/>
          <w:lang w:val="en-US" w:eastAsia="zh-CN"/>
        </w:rPr>
        <w:t xml:space="preserve"> 13、过国家或国际认证资格证书（如有，提供复印件）；</w:t>
      </w:r>
    </w:p>
    <w:p>
      <w:pPr>
        <w:ind w:left="120" w:hanging="120"/>
        <w:jc w:val="center"/>
        <w:rPr>
          <w:rFonts w:hint="eastAsia" w:ascii="宋体" w:hAnsi="宋体" w:cs="宋体"/>
          <w:b/>
          <w:bCs/>
          <w:color w:val="000000"/>
          <w:sz w:val="24"/>
          <w:lang w:val="en-US" w:eastAsia="zh-CN"/>
        </w:rPr>
      </w:pPr>
      <w:r>
        <w:rPr>
          <w:rFonts w:hint="eastAsia" w:ascii="宋体" w:hAnsi="宋体" w:cs="宋体"/>
          <w:b/>
          <w:bCs/>
          <w:color w:val="000000"/>
          <w:sz w:val="24"/>
          <w:lang w:val="en-US" w:eastAsia="zh-CN"/>
        </w:rPr>
        <w:t xml:space="preserve">  </w:t>
      </w: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r>
        <w:rPr>
          <w:rFonts w:hint="eastAsia" w:ascii="宋体" w:hAnsi="宋体" w:cs="宋体"/>
          <w:b/>
          <w:bCs/>
          <w:color w:val="000000"/>
          <w:sz w:val="24"/>
          <w:lang w:val="en-US" w:eastAsia="zh-CN"/>
        </w:rPr>
        <w:t>14、投标保证金转账凭证；</w:t>
      </w: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r>
        <w:rPr>
          <w:rFonts w:hint="eastAsia" w:ascii="宋体" w:hAnsi="宋体" w:cs="宋体"/>
          <w:b/>
          <w:bCs/>
          <w:color w:val="000000"/>
          <w:sz w:val="24"/>
          <w:lang w:val="en-US" w:eastAsia="zh-CN"/>
        </w:rPr>
        <w:t>15、具有良好的商业信誉和健全的财务会计制度（提供2019年度财务审计报告）；</w:t>
      </w: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r>
        <w:rPr>
          <w:rFonts w:hint="eastAsia" w:ascii="宋体" w:hAnsi="宋体" w:cs="宋体"/>
          <w:b/>
          <w:bCs/>
          <w:color w:val="000000"/>
          <w:sz w:val="24"/>
          <w:lang w:val="en-US" w:eastAsia="zh-CN"/>
        </w:rPr>
        <w:t>16、投标人认为必要的相关证明材料及其他</w:t>
      </w:r>
    </w:p>
    <w:p>
      <w:pPr>
        <w:ind w:left="120" w:hanging="120"/>
        <w:jc w:val="center"/>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ind w:left="0" w:leftChars="0" w:firstLine="0" w:firstLineChars="0"/>
        <w:jc w:val="both"/>
        <w:rPr>
          <w:rFonts w:hint="eastAsia" w:ascii="宋体" w:hAnsi="宋体" w:cs="宋体"/>
          <w:b/>
          <w:bCs/>
          <w:color w:val="000000"/>
          <w:sz w:val="24"/>
        </w:rPr>
      </w:pPr>
    </w:p>
    <w:p>
      <w:pPr>
        <w:ind w:left="120" w:hanging="120"/>
        <w:jc w:val="center"/>
        <w:rPr>
          <w:rFonts w:hint="eastAsia" w:ascii="宋体" w:hAnsi="宋体" w:cs="宋体"/>
          <w:b/>
          <w:bCs/>
          <w:color w:val="000000"/>
          <w:sz w:val="24"/>
        </w:rPr>
      </w:pPr>
    </w:p>
    <w:p>
      <w:pPr>
        <w:ind w:left="120" w:hanging="120"/>
        <w:jc w:val="center"/>
        <w:rPr>
          <w:rFonts w:ascii="宋体" w:hAnsi="宋体" w:cs="宋体"/>
          <w:b/>
          <w:bCs/>
          <w:color w:val="000000"/>
          <w:sz w:val="24"/>
        </w:rPr>
      </w:pPr>
      <w:r>
        <w:rPr>
          <w:rFonts w:hint="eastAsia" w:ascii="宋体" w:hAnsi="宋体" w:cs="宋体"/>
          <w:b/>
          <w:bCs/>
          <w:color w:val="000000"/>
          <w:sz w:val="24"/>
        </w:rPr>
        <w:t>第三部分</w:t>
      </w:r>
      <w:bookmarkStart w:id="51" w:name="_Toc31507"/>
      <w:r>
        <w:rPr>
          <w:rFonts w:hint="eastAsia" w:ascii="宋体" w:hAnsi="宋体" w:cs="宋体"/>
          <w:b/>
          <w:bCs/>
          <w:color w:val="000000"/>
          <w:sz w:val="24"/>
          <w:lang w:val="en-US" w:eastAsia="zh-CN"/>
        </w:rPr>
        <w:t xml:space="preserve">  </w:t>
      </w:r>
      <w:r>
        <w:rPr>
          <w:rFonts w:hint="eastAsia" w:ascii="宋体" w:hAnsi="宋体" w:cs="宋体"/>
          <w:b/>
          <w:bCs/>
          <w:color w:val="000000"/>
          <w:sz w:val="24"/>
        </w:rPr>
        <w:t>实施方案</w:t>
      </w:r>
      <w:bookmarkEnd w:id="51"/>
    </w:p>
    <w:p>
      <w:pPr>
        <w:spacing w:line="380" w:lineRule="exact"/>
        <w:ind w:firstLine="480" w:firstLineChars="200"/>
        <w:rPr>
          <w:rFonts w:ascii="宋体" w:hAnsi="宋体" w:cs="宋体"/>
          <w:sz w:val="24"/>
        </w:rPr>
      </w:pPr>
      <w:r>
        <w:rPr>
          <w:rFonts w:hint="eastAsia" w:ascii="宋体" w:hAnsi="宋体" w:cs="宋体"/>
          <w:sz w:val="24"/>
        </w:rPr>
        <w:t>应包括保障完成本项目的全部任务和内容的实施方案等。</w:t>
      </w:r>
    </w:p>
    <w:p>
      <w:pPr>
        <w:spacing w:line="380" w:lineRule="exact"/>
        <w:ind w:firstLine="480" w:firstLineChars="200"/>
        <w:rPr>
          <w:rFonts w:hint="default" w:ascii="宋体" w:hAnsi="宋体" w:eastAsia="宋体" w:cs="宋体"/>
          <w:color w:val="FF0000"/>
          <w:sz w:val="24"/>
          <w:lang w:val="en-US" w:eastAsia="zh-CN"/>
        </w:rPr>
      </w:pPr>
      <w:r>
        <w:rPr>
          <w:rFonts w:hint="eastAsia" w:ascii="宋体" w:hAnsi="宋体" w:cs="宋体"/>
          <w:color w:val="FF0000"/>
          <w:sz w:val="24"/>
          <w:lang w:val="en-US" w:eastAsia="zh-CN"/>
        </w:rPr>
        <w:t>如：</w:t>
      </w:r>
      <w:r>
        <w:rPr>
          <w:rFonts w:hint="eastAsia" w:ascii="宋体" w:hAnsi="宋体" w:eastAsia="宋体" w:cs="宋体"/>
          <w:color w:val="auto"/>
          <w:kern w:val="2"/>
          <w:sz w:val="24"/>
          <w:szCs w:val="24"/>
          <w:lang w:val="en-US" w:eastAsia="zh-CN" w:bidi="ar-SA"/>
        </w:rPr>
        <w:t>房屋结构检测、结构安全性及抗震性能鉴定</w:t>
      </w:r>
      <w:r>
        <w:rPr>
          <w:rFonts w:hint="eastAsia" w:asciiTheme="minorEastAsia" w:hAnsiTheme="minorEastAsia" w:eastAsiaTheme="minorEastAsia" w:cstheme="minorEastAsia"/>
          <w:kern w:val="0"/>
          <w:sz w:val="24"/>
          <w:szCs w:val="24"/>
          <w:lang w:val="en-US" w:eastAsia="zh-CN" w:bidi="ar"/>
        </w:rPr>
        <w:t>等内容。</w:t>
      </w:r>
    </w:p>
    <w:p>
      <w:pPr>
        <w:spacing w:line="380" w:lineRule="exact"/>
        <w:ind w:firstLine="480" w:firstLineChars="200"/>
        <w:rPr>
          <w:rFonts w:ascii="宋体" w:hAnsi="宋体" w:cs="宋体"/>
          <w:color w:val="FF0000"/>
          <w:sz w:val="24"/>
        </w:rPr>
      </w:pPr>
    </w:p>
    <w:p>
      <w:pPr>
        <w:spacing w:line="380" w:lineRule="exact"/>
        <w:ind w:firstLine="480" w:firstLineChars="200"/>
        <w:rPr>
          <w:rFonts w:ascii="宋体" w:hAnsi="宋体" w:cs="宋体"/>
          <w:color w:val="FF0000"/>
          <w:sz w:val="24"/>
        </w:rPr>
      </w:pPr>
    </w:p>
    <w:p>
      <w:pPr>
        <w:spacing w:line="380" w:lineRule="exact"/>
        <w:ind w:firstLine="480" w:firstLineChars="200"/>
        <w:rPr>
          <w:rFonts w:ascii="宋体" w:hAnsi="宋体" w:cs="宋体"/>
          <w:color w:val="FF0000"/>
          <w:sz w:val="24"/>
        </w:rPr>
      </w:pPr>
    </w:p>
    <w:p>
      <w:pPr>
        <w:spacing w:line="380" w:lineRule="exact"/>
        <w:ind w:firstLine="480" w:firstLineChars="200"/>
        <w:rPr>
          <w:rFonts w:ascii="宋体" w:hAnsi="宋体" w:cs="宋体"/>
          <w:color w:val="FF0000"/>
          <w:sz w:val="24"/>
        </w:rPr>
      </w:pPr>
    </w:p>
    <w:p>
      <w:pPr>
        <w:spacing w:line="380" w:lineRule="exact"/>
        <w:ind w:left="120" w:hanging="120"/>
        <w:rPr>
          <w:rFonts w:ascii="宋体" w:hAnsi="宋体" w:cs="宋体"/>
          <w:sz w:val="24"/>
        </w:rPr>
      </w:pPr>
      <w:r>
        <w:rPr>
          <w:rFonts w:hint="eastAsia" w:ascii="宋体" w:hAnsi="宋体" w:cs="宋体"/>
          <w:sz w:val="24"/>
        </w:rPr>
        <w:t>注：以上内容中若需要表格请投标人自行编制</w:t>
      </w:r>
    </w:p>
    <w:p>
      <w:pPr>
        <w:spacing w:line="380" w:lineRule="exact"/>
        <w:ind w:left="239" w:leftChars="114" w:firstLine="360" w:firstLineChars="150"/>
        <w:rPr>
          <w:rFonts w:ascii="宋体" w:hAnsi="宋体" w:cs="宋体"/>
          <w:sz w:val="24"/>
        </w:rPr>
      </w:pPr>
      <w:r>
        <w:rPr>
          <w:rFonts w:hint="eastAsia" w:ascii="宋体" w:hAnsi="宋体" w:cs="宋体"/>
          <w:sz w:val="24"/>
        </w:rPr>
        <w:t>以上内容为招标文件要求，如投标人认为有与本投标项目相关的其他内容也可自行编制放入。</w:t>
      </w:r>
    </w:p>
    <w:p>
      <w:pPr>
        <w:spacing w:line="440" w:lineRule="exact"/>
        <w:ind w:left="120" w:hanging="120"/>
        <w:rPr>
          <w:rFonts w:ascii="宋体" w:hAnsi="宋体" w:cs="宋体"/>
          <w:sz w:val="24"/>
        </w:rPr>
      </w:pPr>
    </w:p>
    <w:p>
      <w:pPr>
        <w:spacing w:line="440" w:lineRule="exact"/>
        <w:ind w:firstLine="480" w:firstLineChars="200"/>
        <w:rPr>
          <w:rFonts w:ascii="宋体" w:hAnsi="宋体" w:cs="宋体"/>
          <w:color w:val="000000"/>
          <w:sz w:val="24"/>
        </w:rPr>
      </w:pPr>
      <w:r>
        <w:rPr>
          <w:rFonts w:hint="eastAsia" w:ascii="宋体" w:hAnsi="宋体" w:cs="宋体"/>
          <w:color w:val="000000"/>
          <w:sz w:val="24"/>
        </w:rPr>
        <w:t>　投标单位：</w:t>
      </w:r>
      <w:r>
        <w:rPr>
          <w:rFonts w:hint="eastAsia" w:ascii="宋体" w:hAnsi="宋体" w:cs="宋体"/>
          <w:color w:val="000000"/>
          <w:sz w:val="24"/>
          <w:u w:val="single"/>
        </w:rPr>
        <w:t xml:space="preserve">                        </w:t>
      </w:r>
      <w:r>
        <w:rPr>
          <w:rFonts w:hint="eastAsia" w:ascii="宋体" w:hAnsi="宋体" w:cs="宋体"/>
          <w:color w:val="000000"/>
          <w:sz w:val="24"/>
        </w:rPr>
        <w:t xml:space="preserve">（公章）   </w:t>
      </w:r>
    </w:p>
    <w:p>
      <w:pPr>
        <w:spacing w:line="440" w:lineRule="exact"/>
        <w:ind w:firstLine="480" w:firstLineChars="200"/>
        <w:rPr>
          <w:rFonts w:ascii="宋体" w:hAnsi="宋体" w:cs="宋体"/>
          <w:color w:val="000000"/>
          <w:sz w:val="24"/>
        </w:rPr>
      </w:pPr>
      <w:r>
        <w:rPr>
          <w:rFonts w:hint="eastAsia" w:ascii="宋体" w:hAnsi="宋体" w:cs="宋体"/>
          <w:color w:val="000000"/>
          <w:sz w:val="24"/>
        </w:rPr>
        <w:t xml:space="preserve">  法定代表人或授权代表人（签字或盖章）：             　</w:t>
      </w:r>
    </w:p>
    <w:p>
      <w:pPr>
        <w:spacing w:line="440" w:lineRule="exact"/>
        <w:ind w:firstLine="480" w:firstLineChars="200"/>
        <w:rPr>
          <w:rFonts w:ascii="宋体" w:hAnsi="宋体" w:cs="宋体"/>
          <w:color w:val="000000"/>
          <w:sz w:val="24"/>
        </w:rPr>
      </w:pPr>
      <w:r>
        <w:rPr>
          <w:rFonts w:hint="eastAsia" w:ascii="宋体" w:hAnsi="宋体" w:cs="宋体"/>
          <w:color w:val="000000"/>
          <w:sz w:val="24"/>
        </w:rPr>
        <w:t xml:space="preserve">            日期：   年   月   日</w:t>
      </w:r>
    </w:p>
    <w:p>
      <w:pPr>
        <w:ind w:left="120" w:hanging="120"/>
        <w:rPr>
          <w:rFonts w:ascii="宋体" w:hAnsi="宋体" w:cs="宋体"/>
          <w:sz w:val="24"/>
        </w:rPr>
      </w:pPr>
    </w:p>
    <w:p>
      <w:pPr>
        <w:ind w:left="120" w:hanging="120"/>
        <w:rPr>
          <w:sz w:val="24"/>
        </w:rPr>
      </w:pPr>
    </w:p>
    <w:p>
      <w:pPr>
        <w:pStyle w:val="5"/>
        <w:ind w:left="0" w:firstLine="0" w:firstLineChars="0"/>
        <w:outlineLvl w:val="9"/>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9"/>
        <w:rPr>
          <w:color w:val="000000" w:themeColor="text1"/>
          <w14:textFill>
            <w14:solidFill>
              <w14:schemeClr w14:val="tx1"/>
            </w14:solidFill>
          </w14:textFill>
        </w:rPr>
      </w:pPr>
    </w:p>
    <w:p>
      <w:pPr>
        <w:pStyle w:val="9"/>
        <w:rPr>
          <w:rFonts w:hint="default"/>
          <w:color w:val="000000" w:themeColor="text1"/>
          <w:lang w:val="en-US" w:eastAsia="zh-CN"/>
          <w14:textFill>
            <w14:solidFill>
              <w14:schemeClr w14:val="tx1"/>
            </w14:solidFill>
          </w14:textFill>
        </w:rPr>
      </w:pPr>
    </w:p>
    <w:sectPr>
      <w:headerReference r:id="rId15" w:type="default"/>
      <w:footerReference r:id="rId16" w:type="default"/>
      <w:pgSz w:w="11906" w:h="16838"/>
      <w:pgMar w:top="1418" w:right="1247" w:bottom="1418"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auto"/>
    <w:pitch w:val="default"/>
    <w:sig w:usb0="00000000" w:usb1="00000000" w:usb2="00000009" w:usb3="00000000" w:csb0="000001FF" w:csb1="00000000"/>
  </w:font>
  <w:font w:name="TKTypeRegular">
    <w:altName w:val="Segoe Print"/>
    <w:panose1 w:val="00000000000000000000"/>
    <w:charset w:val="00"/>
    <w:family w:val="auto"/>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left="90" w:right="360" w:hanging="90"/>
      <w:jc w:val="center"/>
    </w:pPr>
    <w:r>
      <w:rPr>
        <w:sz w:val="18"/>
      </w:rPr>
      <mc:AlternateContent>
        <mc:Choice Requires="wps">
          <w:drawing>
            <wp:anchor distT="0" distB="0" distL="114300" distR="114300" simplePos="0" relativeHeight="251772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left="90" w:right="360" w:hanging="90"/>
                            <w:jc w:val="center"/>
                          </w:pPr>
                          <w:r>
                            <w:rPr>
                              <w:rFonts w:ascii="宋体" w:hAnsi="宋体"/>
                              <w:szCs w:val="21"/>
                            </w:rPr>
                            <w:t xml:space="preserve">- </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47</w:t>
                          </w:r>
                          <w:r>
                            <w:rPr>
                              <w:rFonts w:ascii="宋体" w:hAnsi="宋体"/>
                              <w:szCs w:val="21"/>
                            </w:rPr>
                            <w:fldChar w:fldCharType="end"/>
                          </w:r>
                          <w:r>
                            <w:rPr>
                              <w:rFonts w:ascii="宋体" w:hAnsi="宋体"/>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29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50"/>
                      <w:ind w:left="90" w:right="360" w:hanging="90"/>
                      <w:jc w:val="center"/>
                    </w:pPr>
                    <w:r>
                      <w:rPr>
                        <w:rFonts w:ascii="宋体" w:hAnsi="宋体"/>
                        <w:szCs w:val="21"/>
                      </w:rPr>
                      <w:t xml:space="preserve">- </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47</w:t>
                    </w:r>
                    <w:r>
                      <w:rPr>
                        <w:rFonts w:ascii="宋体" w:hAnsi="宋体"/>
                        <w:szCs w:val="21"/>
                      </w:rPr>
                      <w:fldChar w:fldCharType="end"/>
                    </w:r>
                    <w:r>
                      <w:rPr>
                        <w:rFonts w:ascii="宋体" w:hAnsi="宋体"/>
                        <w:szCs w:val="21"/>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zql5uc8AAAAFAQAADwAAAAAAAAAB&#10;ACAAAAAiAAAAZHJzL2Rvd25yZXYueG1sUEsBAhQAFAAAAAgAh07iQDdPQLinAQAAQQMAAA4AAAAA&#10;AAAAAQAgAAAAHgEAAGRycy9lMm9Eb2MueG1sUEsFBgAAAAAGAAYAWQEAADcFAAAAAA==&#10;">
              <v:fill on="f" focussize="0,0"/>
              <v:stroke on="f"/>
              <v:imagedata o:title=""/>
              <o:lock v:ext="edit" aspectratio="f"/>
              <v:textbox inset="0mm,0mm,0mm,0mm" style="mso-fit-shape-to-text:t;">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22</w:t>
                    </w:r>
                    <w:r>
                      <w:rPr>
                        <w:rFonts w:hint="eastAsia"/>
                        <w:sz w:val="18"/>
                      </w:rP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15570" cy="23177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15570" cy="231775"/>
                      </a:xfrm>
                      <a:prstGeom prst="rect">
                        <a:avLst/>
                      </a:prstGeom>
                      <a:noFill/>
                      <a:ln>
                        <a:noFill/>
                      </a:ln>
                    </wps:spPr>
                    <wps:txbx>
                      <w:txbxContent>
                        <w:p>
                          <w:pPr>
                            <w:ind w:left="105" w:hanging="105"/>
                          </w:pPr>
                        </w:p>
                      </w:txbxContent>
                    </wps:txbx>
                    <wps:bodyPr wrap="none" lIns="0" tIns="0" rIns="0" bIns="0">
                      <a:spAutoFit/>
                    </wps:bodyPr>
                  </wps:wsp>
                </a:graphicData>
              </a:graphic>
            </wp:anchor>
          </w:drawing>
        </mc:Choice>
        <mc:Fallback>
          <w:pict>
            <v:shape id="_x0000_s1026" o:spid="_x0000_s1026" o:spt="202" type="#_x0000_t202" style="position:absolute;left:0pt;margin-top:0pt;height:18.25pt;width:9.1pt;mso-position-horizontal:center;mso-position-horizontal-relative:margin;mso-wrap-style:none;z-index:251667456;mso-width-relative:page;mso-height-relative:page;" filled="f" stroked="f" coordsize="21600,21600" o:gfxdata="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60KeV0QAAAAMBAAAPAAAA&#10;AAAAAAEAIAAAACIAAABkcnMvZG93bnJldi54bWxQSwECFAAUAAAACACHTuJAN8KuiKoBAAA/AwAA&#10;DgAAAAAAAAABACAAAAAgAQAAZHJzL2Uyb0RvYy54bWxQSwUGAAAAAAYABgBZAQAAPAUAAAAA&#10;">
              <v:fill on="f" focussize="0,0"/>
              <v:stroke on="f"/>
              <v:imagedata o:title=""/>
              <o:lock v:ext="edit" aspectratio="f"/>
              <v:textbox inset="0mm,0mm,0mm,0mm" style="mso-fit-shape-to-text:t;">
                <w:txbxContent>
                  <w:p>
                    <w:pPr>
                      <w:ind w:left="105" w:hanging="105"/>
                    </w:pPr>
                  </w:p>
                </w:txbxContent>
              </v:textbox>
            </v:shape>
          </w:pict>
        </mc:Fallback>
      </mc:AlternateContent>
    </w:r>
    <w:r>
      <mc:AlternateContent>
        <mc:Choice Requires="wps">
          <w:drawing>
            <wp:inline distT="0" distB="0" distL="114300" distR="114300">
              <wp:extent cx="5759450" cy="359410"/>
              <wp:effectExtent l="0" t="0" r="0" b="0"/>
              <wp:docPr id="14" name="文本框 14"/>
              <wp:cNvGraphicFramePr/>
              <a:graphic xmlns:a="http://schemas.openxmlformats.org/drawingml/2006/main">
                <a:graphicData uri="http://schemas.microsoft.com/office/word/2010/wordprocessingShape">
                  <wps:wsp>
                    <wps:cNvSpPr txBox="1">
                      <a:spLocks noRot="1"/>
                    </wps:cNvSpPr>
                    <wps:spPr>
                      <a:xfrm>
                        <a:off x="0" y="0"/>
                        <a:ext cx="5759450" cy="359410"/>
                      </a:xfrm>
                      <a:prstGeom prst="rect">
                        <a:avLst/>
                      </a:prstGeom>
                      <a:noFill/>
                      <a:ln>
                        <a:noFill/>
                      </a:ln>
                    </wps:spPr>
                    <wps:txbx>
                      <w:txbxContent>
                        <w:p>
                          <w:pPr>
                            <w:ind w:left="105" w:hanging="105"/>
                          </w:pPr>
                        </w:p>
                      </w:txbxContent>
                    </wps:txbx>
                    <wps:bodyPr lIns="0" tIns="0" rIns="0" bIns="0" upright="1"/>
                  </wps:wsp>
                </a:graphicData>
              </a:graphic>
            </wp:inline>
          </w:drawing>
        </mc:Choice>
        <mc:Fallback>
          <w:pict>
            <v:shape id="_x0000_s1026" o:spid="_x0000_s1026" o:spt="202" type="#_x0000_t202" style="height:28.3pt;width:453.5pt;" filled="f" stroked="f" coordsize="21600,21600" o:gfxdata="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T01f7UAAAA&#10;BAEAAA8AAAAAAAAAAQAgAAAAIgAAAGRycy9kb3ducmV2LnhtbFBLAQIUABQAAAAIAIdO4kA7RZPz&#10;rwEAAEkDAAAOAAAAAAAAAAEAIAAAACMBAABkcnMvZTJvRG9jLnhtbFBLBQYAAAAABgAGAFkBAABE&#10;BQAAAAA=&#10;">
              <v:fill on="f" focussize="0,0"/>
              <v:stroke on="f"/>
              <v:imagedata o:title=""/>
              <o:lock v:ext="edit" rotation="t" aspectratio="f"/>
              <v:textbox inset="0mm,0mm,0mm,0mm">
                <w:txbxContent>
                  <w:p>
                    <w:pPr>
                      <w:ind w:left="105" w:hanging="105"/>
                    </w:pPr>
                  </w:p>
                </w:txbxContent>
              </v:textbox>
              <w10:wrap type="none"/>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left="90" w:hanging="9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left="90" w:hanging="9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left="90" w:hanging="90"/>
    </w:pPr>
    <w: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OqXm5zwAAAAUBAAAPAAAAAAAAAAEA&#10;IAAAACIAAABkcnMvZG93bnJldi54bWxQSwECFAAUAAAACACHTuJAYrkbn6YBAAA/AwAADgAAAAAA&#10;AAABACAAAAAeAQAAZHJzL2Uyb0RvYy54bWxQSwUGAAAAAAYABgBZAQAANgUAAAAA&#10;">
              <v:fill on="f" focussize="0,0"/>
              <v:stroke on="f"/>
              <v:imagedata o:title=""/>
              <o:lock v:ext="edit" aspectratio="f"/>
              <v:textbox inset="0mm,0mm,0mm,0mm" style="mso-fit-shape-to-text:t;">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r>
      <mc:AlternateContent>
        <mc:Choice Requires="wps">
          <w:drawing>
            <wp:anchor distT="0" distB="0" distL="114300" distR="114300" simplePos="0" relativeHeight="251887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76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OqXm5zwAAAAUBAAAPAAAAAAAAAAEA&#10;IAAAACIAAABkcnMvZG93bnJldi54bWxQSwECFAAUAAAACACHTuJAIZKpRaYBAAA/AwAADgAAAAAA&#10;AAABACAAAAAeAQAAZHJzL2Uyb0RvYy54bWxQSwUGAAAAAAYABgBZAQAANgUAAAAA&#10;">
              <v:fill on="f" focussize="0,0"/>
              <v:stroke on="f"/>
              <v:imagedata o:title=""/>
              <o:lock v:ext="edit" aspectratio="f"/>
              <v:textbox inset="0mm,0mm,0mm,0mm" style="mso-fit-shape-to-text:t;">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single" w:color="auto" w:sz="4" w:space="0"/>
      </w:pBdr>
      <w:bidi w:val="0"/>
      <w:ind w:left="199" w:leftChars="95" w:firstLine="1700" w:firstLineChars="850"/>
      <w:rPr>
        <w:rFonts w:hint="eastAsia"/>
        <w:lang w:val="en-US" w:eastAsia="zh-CN"/>
      </w:rPr>
    </w:pPr>
    <w:r>
      <w:rPr>
        <w:rFonts w:hint="eastAsia"/>
        <w:lang w:val="en-US" w:eastAsia="zh-CN"/>
      </w:rPr>
      <w:t>和田市农村房屋安全性鉴定工作采购项目-------公开招标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ind w:left="90" w:hanging="9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single" w:color="auto" w:sz="4" w:space="0"/>
      </w:pBdr>
      <w:bidi w:val="0"/>
      <w:ind w:left="199" w:leftChars="95" w:firstLine="1700" w:firstLineChars="850"/>
      <w:rPr>
        <w:rFonts w:hint="default"/>
        <w:lang w:val="en-US"/>
      </w:rPr>
    </w:pPr>
    <w:r>
      <w:rPr>
        <w:rFonts w:hint="eastAsia"/>
        <w:lang w:val="en-US" w:eastAsia="zh-CN"/>
      </w:rPr>
      <w:t>和田市农村房屋安全性鉴定工作采购项目-------公开招标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ind w:left="90" w:hanging="9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0B99A0"/>
    <w:multiLevelType w:val="singleLevel"/>
    <w:tmpl w:val="8C0B99A0"/>
    <w:lvl w:ilvl="0" w:tentative="0">
      <w:start w:val="2"/>
      <w:numFmt w:val="decimal"/>
      <w:suff w:val="nothing"/>
      <w:lvlText w:val="%1、"/>
      <w:lvlJc w:val="left"/>
    </w:lvl>
  </w:abstractNum>
  <w:abstractNum w:abstractNumId="1">
    <w:nsid w:val="A2ED616B"/>
    <w:multiLevelType w:val="singleLevel"/>
    <w:tmpl w:val="A2ED616B"/>
    <w:lvl w:ilvl="0" w:tentative="0">
      <w:start w:val="8"/>
      <w:numFmt w:val="chineseCounting"/>
      <w:suff w:val="nothing"/>
      <w:lvlText w:val="%1、"/>
      <w:lvlJc w:val="left"/>
      <w:rPr>
        <w:rFonts w:hint="eastAsia"/>
      </w:rPr>
    </w:lvl>
  </w:abstractNum>
  <w:abstractNum w:abstractNumId="2">
    <w:nsid w:val="F4B7A611"/>
    <w:multiLevelType w:val="singleLevel"/>
    <w:tmpl w:val="F4B7A611"/>
    <w:lvl w:ilvl="0" w:tentative="0">
      <w:start w:val="1"/>
      <w:numFmt w:val="decimal"/>
      <w:suff w:val="nothing"/>
      <w:lvlText w:val="%1、"/>
      <w:lvlJc w:val="left"/>
    </w:lvl>
  </w:abstractNum>
  <w:abstractNum w:abstractNumId="3">
    <w:nsid w:val="09FD638A"/>
    <w:multiLevelType w:val="multilevel"/>
    <w:tmpl w:val="09FD638A"/>
    <w:lvl w:ilvl="0" w:tentative="0">
      <w:start w:val="1"/>
      <w:numFmt w:val="japaneseCounting"/>
      <w:pStyle w:val="128"/>
      <w:lvlText w:val="%1、"/>
      <w:lvlJc w:val="left"/>
      <w:pPr>
        <w:tabs>
          <w:tab w:val="left" w:pos="420"/>
        </w:tabs>
        <w:ind w:left="420" w:hanging="420"/>
      </w:pPr>
      <w:rPr>
        <w:rFonts w:hint="default"/>
      </w:rPr>
    </w:lvl>
    <w:lvl w:ilvl="1" w:tentative="0">
      <w:start w:val="1"/>
      <w:numFmt w:val="decimal"/>
      <w:lvlText w:val="%2、"/>
      <w:lvlJc w:val="left"/>
      <w:pPr>
        <w:tabs>
          <w:tab w:val="left" w:pos="644"/>
        </w:tabs>
        <w:ind w:left="644" w:hanging="360"/>
      </w:pPr>
      <w:rPr>
        <w:rFonts w:ascii="宋体" w:hAnsi="宋体" w:eastAsia="宋体" w:cs="Times New Roman"/>
      </w:rPr>
    </w:lvl>
    <w:lvl w:ilvl="2" w:tentative="0">
      <w:start w:val="2"/>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F0B4B67"/>
    <w:multiLevelType w:val="multilevel"/>
    <w:tmpl w:val="0F0B4B67"/>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5">
    <w:nsid w:val="1237B1A4"/>
    <w:multiLevelType w:val="singleLevel"/>
    <w:tmpl w:val="1237B1A4"/>
    <w:lvl w:ilvl="0" w:tentative="0">
      <w:start w:val="1"/>
      <w:numFmt w:val="decimal"/>
      <w:suff w:val="nothing"/>
      <w:lvlText w:val="%1、"/>
      <w:lvlJc w:val="left"/>
    </w:lvl>
  </w:abstractNum>
  <w:abstractNum w:abstractNumId="6">
    <w:nsid w:val="1D2D113A"/>
    <w:multiLevelType w:val="multilevel"/>
    <w:tmpl w:val="1D2D113A"/>
    <w:lvl w:ilvl="0" w:tentative="0">
      <w:start w:val="1"/>
      <w:numFmt w:val="decimal"/>
      <w:lvlText w:val="%1、"/>
      <w:lvlJc w:val="left"/>
      <w:pPr>
        <w:ind w:left="450" w:hanging="450"/>
      </w:pPr>
      <w:rPr>
        <w:rFonts w:hint="default" w:eastAsia="黑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3B804A6"/>
    <w:multiLevelType w:val="multilevel"/>
    <w:tmpl w:val="23B804A6"/>
    <w:lvl w:ilvl="0" w:tentative="0">
      <w:start w:val="5"/>
      <w:numFmt w:val="japaneseCounting"/>
      <w:lvlText w:val="第%1章"/>
      <w:lvlJc w:val="left"/>
      <w:pPr>
        <w:tabs>
          <w:tab w:val="left" w:pos="1140"/>
        </w:tabs>
        <w:ind w:left="1140" w:hanging="114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C5FE801"/>
    <w:multiLevelType w:val="singleLevel"/>
    <w:tmpl w:val="2C5FE801"/>
    <w:lvl w:ilvl="0" w:tentative="0">
      <w:start w:val="3"/>
      <w:numFmt w:val="chineseCounting"/>
      <w:suff w:val="space"/>
      <w:lvlText w:val="第%1章"/>
      <w:lvlJc w:val="left"/>
      <w:rPr>
        <w:rFonts w:hint="eastAsia"/>
      </w:rPr>
    </w:lvl>
  </w:abstractNum>
  <w:abstractNum w:abstractNumId="9">
    <w:nsid w:val="36D4198A"/>
    <w:multiLevelType w:val="multilevel"/>
    <w:tmpl w:val="36D4198A"/>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none"/>
      <w:lvlRestart w:val="0"/>
      <w:pStyle w:val="6"/>
      <w:isLgl/>
      <w:lvlText w:val="4.1.1.1"/>
      <w:lvlJc w:val="left"/>
      <w:pPr>
        <w:tabs>
          <w:tab w:val="left" w:pos="1751"/>
        </w:tabs>
        <w:ind w:left="17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3C7D36E3"/>
    <w:multiLevelType w:val="multilevel"/>
    <w:tmpl w:val="3C7D36E3"/>
    <w:lvl w:ilvl="0" w:tentative="0">
      <w:start w:val="1"/>
      <w:numFmt w:val="japaneseCounting"/>
      <w:pStyle w:val="3"/>
      <w:lvlText w:val="%1．"/>
      <w:lvlJc w:val="left"/>
      <w:pPr>
        <w:tabs>
          <w:tab w:val="left" w:pos="3060"/>
        </w:tabs>
        <w:ind w:left="3060" w:hanging="720"/>
      </w:pPr>
      <w:rPr>
        <w:b/>
        <w:sz w:val="36"/>
        <w:szCs w:val="36"/>
      </w:rPr>
    </w:lvl>
    <w:lvl w:ilvl="1" w:tentative="0">
      <w:start w:val="6"/>
      <w:numFmt w:val="decimal"/>
      <w:lvlText w:val="%2、"/>
      <w:lvlJc w:val="left"/>
      <w:pPr>
        <w:tabs>
          <w:tab w:val="left" w:pos="3160"/>
        </w:tabs>
        <w:ind w:left="3160" w:hanging="825"/>
      </w:pPr>
    </w:lvl>
    <w:lvl w:ilvl="2" w:tentative="0">
      <w:start w:val="2"/>
      <w:numFmt w:val="japaneseCounting"/>
      <w:lvlText w:val="%3、"/>
      <w:lvlJc w:val="left"/>
      <w:pPr>
        <w:tabs>
          <w:tab w:val="left" w:pos="3475"/>
        </w:tabs>
        <w:ind w:left="3475" w:hanging="720"/>
      </w:pPr>
      <w:rPr>
        <w:b/>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5808D697"/>
    <w:multiLevelType w:val="singleLevel"/>
    <w:tmpl w:val="5808D697"/>
    <w:lvl w:ilvl="0" w:tentative="0">
      <w:start w:val="12"/>
      <w:numFmt w:val="decimal"/>
      <w:suff w:val="nothing"/>
      <w:lvlText w:val="%1、"/>
      <w:lvlJc w:val="left"/>
    </w:lvl>
  </w:abstractNum>
  <w:abstractNum w:abstractNumId="12">
    <w:nsid w:val="58B78C3E"/>
    <w:multiLevelType w:val="singleLevel"/>
    <w:tmpl w:val="58B78C3E"/>
    <w:lvl w:ilvl="0" w:tentative="0">
      <w:start w:val="3"/>
      <w:numFmt w:val="chineseCounting"/>
      <w:suff w:val="nothing"/>
      <w:lvlText w:val="%1、"/>
      <w:lvlJc w:val="left"/>
    </w:lvl>
  </w:abstractNum>
  <w:abstractNum w:abstractNumId="13">
    <w:nsid w:val="58B79D08"/>
    <w:multiLevelType w:val="singleLevel"/>
    <w:tmpl w:val="58B79D08"/>
    <w:lvl w:ilvl="0" w:tentative="0">
      <w:start w:val="4"/>
      <w:numFmt w:val="decimal"/>
      <w:suff w:val="nothing"/>
      <w:lvlText w:val="%1、"/>
      <w:lvlJc w:val="left"/>
    </w:lvl>
  </w:abstractNum>
  <w:num w:numId="1">
    <w:abstractNumId w:val="10"/>
  </w:num>
  <w:num w:numId="2">
    <w:abstractNumId w:val="9"/>
  </w:num>
  <w:num w:numId="3">
    <w:abstractNumId w:val="3"/>
  </w:num>
  <w:num w:numId="4">
    <w:abstractNumId w:val="0"/>
  </w:num>
  <w:num w:numId="5">
    <w:abstractNumId w:val="12"/>
  </w:num>
  <w:num w:numId="6">
    <w:abstractNumId w:val="11"/>
  </w:num>
  <w:num w:numId="7">
    <w:abstractNumId w:val="5"/>
  </w:num>
  <w:num w:numId="8">
    <w:abstractNumId w:val="1"/>
  </w:num>
  <w:num w:numId="9">
    <w:abstractNumId w:val="8"/>
  </w:num>
  <w:num w:numId="10">
    <w:abstractNumId w:val="2"/>
  </w:num>
  <w:num w:numId="11">
    <w:abstractNumId w:val="7"/>
  </w:num>
  <w:num w:numId="12">
    <w:abstractNumId w:val="6"/>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numFmt w:val="decimalHalfWidth"/>
  </w:footnotePr>
  <w:endnotePr>
    <w:numFmt w:val="chineseCounting"/>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9E3"/>
    <w:rsid w:val="0000017A"/>
    <w:rsid w:val="00001114"/>
    <w:rsid w:val="000015C3"/>
    <w:rsid w:val="000022DA"/>
    <w:rsid w:val="00002548"/>
    <w:rsid w:val="00002650"/>
    <w:rsid w:val="00002EB5"/>
    <w:rsid w:val="000047A6"/>
    <w:rsid w:val="00005531"/>
    <w:rsid w:val="0000598D"/>
    <w:rsid w:val="0000642A"/>
    <w:rsid w:val="00010945"/>
    <w:rsid w:val="00010D6A"/>
    <w:rsid w:val="00010DE7"/>
    <w:rsid w:val="000114C6"/>
    <w:rsid w:val="0001150B"/>
    <w:rsid w:val="000119F6"/>
    <w:rsid w:val="00011ACB"/>
    <w:rsid w:val="0001305F"/>
    <w:rsid w:val="0001321B"/>
    <w:rsid w:val="00013CD2"/>
    <w:rsid w:val="00014A81"/>
    <w:rsid w:val="000153DC"/>
    <w:rsid w:val="00015A0D"/>
    <w:rsid w:val="00015EFC"/>
    <w:rsid w:val="00017574"/>
    <w:rsid w:val="00021ABA"/>
    <w:rsid w:val="00021B8D"/>
    <w:rsid w:val="00023BA4"/>
    <w:rsid w:val="00023E15"/>
    <w:rsid w:val="00023EAB"/>
    <w:rsid w:val="00024218"/>
    <w:rsid w:val="000249A0"/>
    <w:rsid w:val="000249C0"/>
    <w:rsid w:val="00024AFD"/>
    <w:rsid w:val="0002736B"/>
    <w:rsid w:val="00027C9F"/>
    <w:rsid w:val="00027D10"/>
    <w:rsid w:val="000304EB"/>
    <w:rsid w:val="00030E3D"/>
    <w:rsid w:val="000310D4"/>
    <w:rsid w:val="000313F5"/>
    <w:rsid w:val="00031D85"/>
    <w:rsid w:val="00032314"/>
    <w:rsid w:val="000331FC"/>
    <w:rsid w:val="00033F3F"/>
    <w:rsid w:val="00034325"/>
    <w:rsid w:val="00034591"/>
    <w:rsid w:val="00034620"/>
    <w:rsid w:val="00035933"/>
    <w:rsid w:val="000402B7"/>
    <w:rsid w:val="000419EE"/>
    <w:rsid w:val="00042652"/>
    <w:rsid w:val="00042AD1"/>
    <w:rsid w:val="00043140"/>
    <w:rsid w:val="00043B2F"/>
    <w:rsid w:val="00044301"/>
    <w:rsid w:val="00044550"/>
    <w:rsid w:val="00046295"/>
    <w:rsid w:val="000468CA"/>
    <w:rsid w:val="000503CE"/>
    <w:rsid w:val="00051B8A"/>
    <w:rsid w:val="000529BE"/>
    <w:rsid w:val="00052CBC"/>
    <w:rsid w:val="00052DB3"/>
    <w:rsid w:val="00052F6D"/>
    <w:rsid w:val="0005368B"/>
    <w:rsid w:val="00053C23"/>
    <w:rsid w:val="00053CFF"/>
    <w:rsid w:val="00053E1F"/>
    <w:rsid w:val="00053E58"/>
    <w:rsid w:val="00054F1F"/>
    <w:rsid w:val="00055868"/>
    <w:rsid w:val="00055CAE"/>
    <w:rsid w:val="00056A9F"/>
    <w:rsid w:val="00062622"/>
    <w:rsid w:val="000626D5"/>
    <w:rsid w:val="00062F9B"/>
    <w:rsid w:val="000638E6"/>
    <w:rsid w:val="00065C00"/>
    <w:rsid w:val="00065C0F"/>
    <w:rsid w:val="000669E3"/>
    <w:rsid w:val="0006748A"/>
    <w:rsid w:val="00067FC5"/>
    <w:rsid w:val="0007065D"/>
    <w:rsid w:val="00070921"/>
    <w:rsid w:val="0007118D"/>
    <w:rsid w:val="0007251F"/>
    <w:rsid w:val="00072667"/>
    <w:rsid w:val="00072A12"/>
    <w:rsid w:val="000740C5"/>
    <w:rsid w:val="000759C0"/>
    <w:rsid w:val="0007642E"/>
    <w:rsid w:val="00076B8F"/>
    <w:rsid w:val="000773C9"/>
    <w:rsid w:val="000807F9"/>
    <w:rsid w:val="000809ED"/>
    <w:rsid w:val="00080BDF"/>
    <w:rsid w:val="00080D57"/>
    <w:rsid w:val="00080EFF"/>
    <w:rsid w:val="00081459"/>
    <w:rsid w:val="000814B9"/>
    <w:rsid w:val="00081F12"/>
    <w:rsid w:val="000823DF"/>
    <w:rsid w:val="000827B7"/>
    <w:rsid w:val="0008305D"/>
    <w:rsid w:val="0008316E"/>
    <w:rsid w:val="0008364F"/>
    <w:rsid w:val="00084DF5"/>
    <w:rsid w:val="00084E6B"/>
    <w:rsid w:val="000853FA"/>
    <w:rsid w:val="0008688C"/>
    <w:rsid w:val="00087211"/>
    <w:rsid w:val="0009027E"/>
    <w:rsid w:val="000911EB"/>
    <w:rsid w:val="00091957"/>
    <w:rsid w:val="00094282"/>
    <w:rsid w:val="00095C12"/>
    <w:rsid w:val="00096651"/>
    <w:rsid w:val="00097124"/>
    <w:rsid w:val="000978D2"/>
    <w:rsid w:val="000A00AB"/>
    <w:rsid w:val="000A0A41"/>
    <w:rsid w:val="000A17B6"/>
    <w:rsid w:val="000A2663"/>
    <w:rsid w:val="000A28E5"/>
    <w:rsid w:val="000A3084"/>
    <w:rsid w:val="000A3430"/>
    <w:rsid w:val="000A3489"/>
    <w:rsid w:val="000A4486"/>
    <w:rsid w:val="000A54E2"/>
    <w:rsid w:val="000A5A93"/>
    <w:rsid w:val="000A637F"/>
    <w:rsid w:val="000A656C"/>
    <w:rsid w:val="000A6BCB"/>
    <w:rsid w:val="000A6DE4"/>
    <w:rsid w:val="000A7182"/>
    <w:rsid w:val="000A75D6"/>
    <w:rsid w:val="000A7DC8"/>
    <w:rsid w:val="000B09E9"/>
    <w:rsid w:val="000B13CF"/>
    <w:rsid w:val="000B215B"/>
    <w:rsid w:val="000B2B45"/>
    <w:rsid w:val="000B2F20"/>
    <w:rsid w:val="000B4C14"/>
    <w:rsid w:val="000B58F9"/>
    <w:rsid w:val="000B716F"/>
    <w:rsid w:val="000C0145"/>
    <w:rsid w:val="000C08E5"/>
    <w:rsid w:val="000C0BCC"/>
    <w:rsid w:val="000C0C52"/>
    <w:rsid w:val="000C151F"/>
    <w:rsid w:val="000C1B22"/>
    <w:rsid w:val="000C300F"/>
    <w:rsid w:val="000C3573"/>
    <w:rsid w:val="000C44B1"/>
    <w:rsid w:val="000C48E5"/>
    <w:rsid w:val="000C49E3"/>
    <w:rsid w:val="000C4EB1"/>
    <w:rsid w:val="000C503A"/>
    <w:rsid w:val="000C5544"/>
    <w:rsid w:val="000C589D"/>
    <w:rsid w:val="000C5B1C"/>
    <w:rsid w:val="000D0CFC"/>
    <w:rsid w:val="000D1AB0"/>
    <w:rsid w:val="000D1CDF"/>
    <w:rsid w:val="000D25FE"/>
    <w:rsid w:val="000D47D6"/>
    <w:rsid w:val="000D67EF"/>
    <w:rsid w:val="000D6CB9"/>
    <w:rsid w:val="000D6D98"/>
    <w:rsid w:val="000D74DC"/>
    <w:rsid w:val="000D7AAD"/>
    <w:rsid w:val="000D7ED7"/>
    <w:rsid w:val="000E0613"/>
    <w:rsid w:val="000E0653"/>
    <w:rsid w:val="000E1B78"/>
    <w:rsid w:val="000E2252"/>
    <w:rsid w:val="000E2C6C"/>
    <w:rsid w:val="000E3A28"/>
    <w:rsid w:val="000E4029"/>
    <w:rsid w:val="000E46AE"/>
    <w:rsid w:val="000E7122"/>
    <w:rsid w:val="000E73E6"/>
    <w:rsid w:val="000F0270"/>
    <w:rsid w:val="000F0EA1"/>
    <w:rsid w:val="000F2007"/>
    <w:rsid w:val="000F2BD0"/>
    <w:rsid w:val="000F2D7A"/>
    <w:rsid w:val="000F5A7D"/>
    <w:rsid w:val="000F5BB0"/>
    <w:rsid w:val="000F761E"/>
    <w:rsid w:val="00100687"/>
    <w:rsid w:val="001010CA"/>
    <w:rsid w:val="001019D2"/>
    <w:rsid w:val="0010264D"/>
    <w:rsid w:val="00103CA2"/>
    <w:rsid w:val="00104E91"/>
    <w:rsid w:val="0010533E"/>
    <w:rsid w:val="0010584C"/>
    <w:rsid w:val="00106A4E"/>
    <w:rsid w:val="001075E1"/>
    <w:rsid w:val="00112154"/>
    <w:rsid w:val="001125E0"/>
    <w:rsid w:val="00112EDF"/>
    <w:rsid w:val="001143F1"/>
    <w:rsid w:val="00116422"/>
    <w:rsid w:val="00117B8A"/>
    <w:rsid w:val="00120B86"/>
    <w:rsid w:val="00122A99"/>
    <w:rsid w:val="00122ED8"/>
    <w:rsid w:val="00124803"/>
    <w:rsid w:val="00126D9E"/>
    <w:rsid w:val="001272CC"/>
    <w:rsid w:val="00130228"/>
    <w:rsid w:val="0013032D"/>
    <w:rsid w:val="00130816"/>
    <w:rsid w:val="00130B51"/>
    <w:rsid w:val="001316AE"/>
    <w:rsid w:val="0013181B"/>
    <w:rsid w:val="00131BC1"/>
    <w:rsid w:val="001329D2"/>
    <w:rsid w:val="00133E1A"/>
    <w:rsid w:val="00134D40"/>
    <w:rsid w:val="00134ED4"/>
    <w:rsid w:val="00136EB6"/>
    <w:rsid w:val="00140763"/>
    <w:rsid w:val="00140EBD"/>
    <w:rsid w:val="00140FA9"/>
    <w:rsid w:val="001420B1"/>
    <w:rsid w:val="0014510E"/>
    <w:rsid w:val="00145DB0"/>
    <w:rsid w:val="00146C42"/>
    <w:rsid w:val="00147DFE"/>
    <w:rsid w:val="001503D3"/>
    <w:rsid w:val="0015071A"/>
    <w:rsid w:val="00150CC4"/>
    <w:rsid w:val="00151386"/>
    <w:rsid w:val="00152CDC"/>
    <w:rsid w:val="0015399B"/>
    <w:rsid w:val="00154A06"/>
    <w:rsid w:val="001554A8"/>
    <w:rsid w:val="001563BC"/>
    <w:rsid w:val="001574CB"/>
    <w:rsid w:val="00157F0D"/>
    <w:rsid w:val="00163FC6"/>
    <w:rsid w:val="00164ADD"/>
    <w:rsid w:val="00164FC3"/>
    <w:rsid w:val="00165654"/>
    <w:rsid w:val="00165E50"/>
    <w:rsid w:val="0016665E"/>
    <w:rsid w:val="0016685F"/>
    <w:rsid w:val="00166E54"/>
    <w:rsid w:val="001673D2"/>
    <w:rsid w:val="001673EE"/>
    <w:rsid w:val="00167E73"/>
    <w:rsid w:val="001703C1"/>
    <w:rsid w:val="00171B01"/>
    <w:rsid w:val="00171FF9"/>
    <w:rsid w:val="00172DBD"/>
    <w:rsid w:val="0017422B"/>
    <w:rsid w:val="001751A7"/>
    <w:rsid w:val="00175F29"/>
    <w:rsid w:val="00176A84"/>
    <w:rsid w:val="00176DF7"/>
    <w:rsid w:val="00177B4D"/>
    <w:rsid w:val="0018036A"/>
    <w:rsid w:val="00180AE6"/>
    <w:rsid w:val="00180B35"/>
    <w:rsid w:val="00181EED"/>
    <w:rsid w:val="00182063"/>
    <w:rsid w:val="001821B8"/>
    <w:rsid w:val="0018225C"/>
    <w:rsid w:val="00182674"/>
    <w:rsid w:val="00182D50"/>
    <w:rsid w:val="001843F4"/>
    <w:rsid w:val="00184498"/>
    <w:rsid w:val="00185EC2"/>
    <w:rsid w:val="00185F02"/>
    <w:rsid w:val="00186104"/>
    <w:rsid w:val="00186890"/>
    <w:rsid w:val="00186C70"/>
    <w:rsid w:val="00187210"/>
    <w:rsid w:val="001876C3"/>
    <w:rsid w:val="001907CD"/>
    <w:rsid w:val="00191F54"/>
    <w:rsid w:val="0019412C"/>
    <w:rsid w:val="001A0274"/>
    <w:rsid w:val="001A0317"/>
    <w:rsid w:val="001A1BE0"/>
    <w:rsid w:val="001A209D"/>
    <w:rsid w:val="001A2183"/>
    <w:rsid w:val="001A31A3"/>
    <w:rsid w:val="001A369C"/>
    <w:rsid w:val="001A445A"/>
    <w:rsid w:val="001A47C4"/>
    <w:rsid w:val="001A4D87"/>
    <w:rsid w:val="001A5E39"/>
    <w:rsid w:val="001A6370"/>
    <w:rsid w:val="001A682D"/>
    <w:rsid w:val="001A68E9"/>
    <w:rsid w:val="001B0C12"/>
    <w:rsid w:val="001B1015"/>
    <w:rsid w:val="001B19E3"/>
    <w:rsid w:val="001B2FCD"/>
    <w:rsid w:val="001B4E3B"/>
    <w:rsid w:val="001B51BA"/>
    <w:rsid w:val="001B5A58"/>
    <w:rsid w:val="001B6088"/>
    <w:rsid w:val="001B6DFC"/>
    <w:rsid w:val="001B77D6"/>
    <w:rsid w:val="001C277F"/>
    <w:rsid w:val="001C34EC"/>
    <w:rsid w:val="001C3636"/>
    <w:rsid w:val="001C4FEE"/>
    <w:rsid w:val="001C54D1"/>
    <w:rsid w:val="001C5A28"/>
    <w:rsid w:val="001C5B8B"/>
    <w:rsid w:val="001C5C24"/>
    <w:rsid w:val="001C78B4"/>
    <w:rsid w:val="001C7A72"/>
    <w:rsid w:val="001C7D0B"/>
    <w:rsid w:val="001D172A"/>
    <w:rsid w:val="001D1A84"/>
    <w:rsid w:val="001D2B44"/>
    <w:rsid w:val="001D307A"/>
    <w:rsid w:val="001D3CB3"/>
    <w:rsid w:val="001D50C9"/>
    <w:rsid w:val="001D648E"/>
    <w:rsid w:val="001D652E"/>
    <w:rsid w:val="001D76F5"/>
    <w:rsid w:val="001D7F5D"/>
    <w:rsid w:val="001E0B3C"/>
    <w:rsid w:val="001E1094"/>
    <w:rsid w:val="001E125F"/>
    <w:rsid w:val="001E1361"/>
    <w:rsid w:val="001E20D3"/>
    <w:rsid w:val="001E2E9F"/>
    <w:rsid w:val="001E34A1"/>
    <w:rsid w:val="001E35F7"/>
    <w:rsid w:val="001E4AC4"/>
    <w:rsid w:val="001F044D"/>
    <w:rsid w:val="001F0914"/>
    <w:rsid w:val="001F0B9A"/>
    <w:rsid w:val="001F1932"/>
    <w:rsid w:val="001F251A"/>
    <w:rsid w:val="001F2F02"/>
    <w:rsid w:val="001F3FE1"/>
    <w:rsid w:val="001F50AA"/>
    <w:rsid w:val="001F5C57"/>
    <w:rsid w:val="001F7016"/>
    <w:rsid w:val="00200EBC"/>
    <w:rsid w:val="00201899"/>
    <w:rsid w:val="002046CE"/>
    <w:rsid w:val="00205775"/>
    <w:rsid w:val="00205C63"/>
    <w:rsid w:val="00206399"/>
    <w:rsid w:val="00206466"/>
    <w:rsid w:val="00206B62"/>
    <w:rsid w:val="00210567"/>
    <w:rsid w:val="002106E5"/>
    <w:rsid w:val="00210735"/>
    <w:rsid w:val="00210779"/>
    <w:rsid w:val="00211D4E"/>
    <w:rsid w:val="00213F35"/>
    <w:rsid w:val="00214516"/>
    <w:rsid w:val="00214BDF"/>
    <w:rsid w:val="00215804"/>
    <w:rsid w:val="00215A2B"/>
    <w:rsid w:val="00215AE9"/>
    <w:rsid w:val="00216F0D"/>
    <w:rsid w:val="00217A2E"/>
    <w:rsid w:val="00217EC2"/>
    <w:rsid w:val="0022055F"/>
    <w:rsid w:val="00220D49"/>
    <w:rsid w:val="0022288C"/>
    <w:rsid w:val="0022312B"/>
    <w:rsid w:val="0022394B"/>
    <w:rsid w:val="00223AF4"/>
    <w:rsid w:val="0022587A"/>
    <w:rsid w:val="00225910"/>
    <w:rsid w:val="00225BED"/>
    <w:rsid w:val="0022731E"/>
    <w:rsid w:val="00227928"/>
    <w:rsid w:val="00227CFB"/>
    <w:rsid w:val="00230046"/>
    <w:rsid w:val="002305CA"/>
    <w:rsid w:val="00230C25"/>
    <w:rsid w:val="002328CF"/>
    <w:rsid w:val="00232932"/>
    <w:rsid w:val="00232FA4"/>
    <w:rsid w:val="00234BD6"/>
    <w:rsid w:val="00234C06"/>
    <w:rsid w:val="00234DD4"/>
    <w:rsid w:val="00234FB7"/>
    <w:rsid w:val="0023754C"/>
    <w:rsid w:val="002375E1"/>
    <w:rsid w:val="00237AB6"/>
    <w:rsid w:val="00237CCF"/>
    <w:rsid w:val="00237E62"/>
    <w:rsid w:val="002401A9"/>
    <w:rsid w:val="00240E9F"/>
    <w:rsid w:val="00241351"/>
    <w:rsid w:val="00242ECA"/>
    <w:rsid w:val="00243621"/>
    <w:rsid w:val="002438B3"/>
    <w:rsid w:val="002448E9"/>
    <w:rsid w:val="00244B0E"/>
    <w:rsid w:val="002458F6"/>
    <w:rsid w:val="002465C5"/>
    <w:rsid w:val="00247AD9"/>
    <w:rsid w:val="002508D9"/>
    <w:rsid w:val="00251C08"/>
    <w:rsid w:val="00252988"/>
    <w:rsid w:val="00252E05"/>
    <w:rsid w:val="0025456F"/>
    <w:rsid w:val="002577F4"/>
    <w:rsid w:val="0026026B"/>
    <w:rsid w:val="00260F9D"/>
    <w:rsid w:val="00261188"/>
    <w:rsid w:val="00261D5A"/>
    <w:rsid w:val="00262BB1"/>
    <w:rsid w:val="00262E8F"/>
    <w:rsid w:val="00264567"/>
    <w:rsid w:val="00265348"/>
    <w:rsid w:val="00265855"/>
    <w:rsid w:val="00265DED"/>
    <w:rsid w:val="0026623D"/>
    <w:rsid w:val="0026630F"/>
    <w:rsid w:val="0026671C"/>
    <w:rsid w:val="00267082"/>
    <w:rsid w:val="002677F0"/>
    <w:rsid w:val="002678AD"/>
    <w:rsid w:val="00267D5B"/>
    <w:rsid w:val="0027056C"/>
    <w:rsid w:val="002708B6"/>
    <w:rsid w:val="0027184E"/>
    <w:rsid w:val="0027516A"/>
    <w:rsid w:val="002755A1"/>
    <w:rsid w:val="00276715"/>
    <w:rsid w:val="00276C41"/>
    <w:rsid w:val="00277C87"/>
    <w:rsid w:val="002800E8"/>
    <w:rsid w:val="0028090B"/>
    <w:rsid w:val="0028183B"/>
    <w:rsid w:val="00281E6C"/>
    <w:rsid w:val="00281F2F"/>
    <w:rsid w:val="0028234E"/>
    <w:rsid w:val="00284FE8"/>
    <w:rsid w:val="0028549A"/>
    <w:rsid w:val="0028661F"/>
    <w:rsid w:val="002870C8"/>
    <w:rsid w:val="00287C0A"/>
    <w:rsid w:val="00287CA0"/>
    <w:rsid w:val="00287EAD"/>
    <w:rsid w:val="00290897"/>
    <w:rsid w:val="0029105E"/>
    <w:rsid w:val="002919A1"/>
    <w:rsid w:val="00294B33"/>
    <w:rsid w:val="0029648F"/>
    <w:rsid w:val="00297917"/>
    <w:rsid w:val="002A0A5F"/>
    <w:rsid w:val="002A0B27"/>
    <w:rsid w:val="002A0F40"/>
    <w:rsid w:val="002A26D8"/>
    <w:rsid w:val="002A2D80"/>
    <w:rsid w:val="002A2FAF"/>
    <w:rsid w:val="002A48FD"/>
    <w:rsid w:val="002A6220"/>
    <w:rsid w:val="002A669B"/>
    <w:rsid w:val="002A7712"/>
    <w:rsid w:val="002A7A8A"/>
    <w:rsid w:val="002A7A9F"/>
    <w:rsid w:val="002B143B"/>
    <w:rsid w:val="002B1871"/>
    <w:rsid w:val="002B2532"/>
    <w:rsid w:val="002B2E65"/>
    <w:rsid w:val="002B5BAB"/>
    <w:rsid w:val="002B6C2B"/>
    <w:rsid w:val="002B73DC"/>
    <w:rsid w:val="002C1816"/>
    <w:rsid w:val="002C275C"/>
    <w:rsid w:val="002C30CE"/>
    <w:rsid w:val="002C4052"/>
    <w:rsid w:val="002C4279"/>
    <w:rsid w:val="002D086B"/>
    <w:rsid w:val="002D1689"/>
    <w:rsid w:val="002D18BE"/>
    <w:rsid w:val="002D3361"/>
    <w:rsid w:val="002D384F"/>
    <w:rsid w:val="002D3D79"/>
    <w:rsid w:val="002D6C2A"/>
    <w:rsid w:val="002D737E"/>
    <w:rsid w:val="002E02EE"/>
    <w:rsid w:val="002E0371"/>
    <w:rsid w:val="002E0BB8"/>
    <w:rsid w:val="002E1A29"/>
    <w:rsid w:val="002E1ABA"/>
    <w:rsid w:val="002E203E"/>
    <w:rsid w:val="002E2D94"/>
    <w:rsid w:val="002E3DD4"/>
    <w:rsid w:val="002E47C4"/>
    <w:rsid w:val="002E4C49"/>
    <w:rsid w:val="002E4E8E"/>
    <w:rsid w:val="002E5294"/>
    <w:rsid w:val="002E6A78"/>
    <w:rsid w:val="002E7075"/>
    <w:rsid w:val="002E725F"/>
    <w:rsid w:val="002E7791"/>
    <w:rsid w:val="002F150F"/>
    <w:rsid w:val="002F1805"/>
    <w:rsid w:val="002F1995"/>
    <w:rsid w:val="002F26A1"/>
    <w:rsid w:val="002F2D76"/>
    <w:rsid w:val="002F3AB0"/>
    <w:rsid w:val="002F413D"/>
    <w:rsid w:val="002F428F"/>
    <w:rsid w:val="002F5045"/>
    <w:rsid w:val="002F51E7"/>
    <w:rsid w:val="002F59D8"/>
    <w:rsid w:val="002F76F0"/>
    <w:rsid w:val="00300E0F"/>
    <w:rsid w:val="00301EF9"/>
    <w:rsid w:val="00302080"/>
    <w:rsid w:val="003020B5"/>
    <w:rsid w:val="00302F74"/>
    <w:rsid w:val="00303055"/>
    <w:rsid w:val="003033A3"/>
    <w:rsid w:val="0030385D"/>
    <w:rsid w:val="00303C2D"/>
    <w:rsid w:val="00303F79"/>
    <w:rsid w:val="003048B3"/>
    <w:rsid w:val="00304A0C"/>
    <w:rsid w:val="0030501A"/>
    <w:rsid w:val="00305368"/>
    <w:rsid w:val="00306817"/>
    <w:rsid w:val="003076A5"/>
    <w:rsid w:val="003078CC"/>
    <w:rsid w:val="0031073E"/>
    <w:rsid w:val="00311745"/>
    <w:rsid w:val="00311FEF"/>
    <w:rsid w:val="00312880"/>
    <w:rsid w:val="00313787"/>
    <w:rsid w:val="00313F38"/>
    <w:rsid w:val="003157FB"/>
    <w:rsid w:val="003166D3"/>
    <w:rsid w:val="003168EE"/>
    <w:rsid w:val="0031702E"/>
    <w:rsid w:val="003179C7"/>
    <w:rsid w:val="00320629"/>
    <w:rsid w:val="0032092B"/>
    <w:rsid w:val="003224E4"/>
    <w:rsid w:val="00323827"/>
    <w:rsid w:val="00324CCA"/>
    <w:rsid w:val="003258EA"/>
    <w:rsid w:val="00325C18"/>
    <w:rsid w:val="0032775D"/>
    <w:rsid w:val="0033022F"/>
    <w:rsid w:val="00330DAC"/>
    <w:rsid w:val="003312E9"/>
    <w:rsid w:val="00333D70"/>
    <w:rsid w:val="00333F2B"/>
    <w:rsid w:val="003346C4"/>
    <w:rsid w:val="003349B6"/>
    <w:rsid w:val="00334DA5"/>
    <w:rsid w:val="00335545"/>
    <w:rsid w:val="00335CE0"/>
    <w:rsid w:val="003371BE"/>
    <w:rsid w:val="003373A0"/>
    <w:rsid w:val="003401CD"/>
    <w:rsid w:val="0034087F"/>
    <w:rsid w:val="00341D70"/>
    <w:rsid w:val="0034229B"/>
    <w:rsid w:val="003429D3"/>
    <w:rsid w:val="00342A81"/>
    <w:rsid w:val="00343A8A"/>
    <w:rsid w:val="00345AB4"/>
    <w:rsid w:val="00346C9C"/>
    <w:rsid w:val="00347A92"/>
    <w:rsid w:val="003507F5"/>
    <w:rsid w:val="00350C32"/>
    <w:rsid w:val="00351FE4"/>
    <w:rsid w:val="00352320"/>
    <w:rsid w:val="0035257D"/>
    <w:rsid w:val="00353954"/>
    <w:rsid w:val="00353C4D"/>
    <w:rsid w:val="003541AE"/>
    <w:rsid w:val="0035479E"/>
    <w:rsid w:val="003548F1"/>
    <w:rsid w:val="003562EB"/>
    <w:rsid w:val="00356E84"/>
    <w:rsid w:val="00357D62"/>
    <w:rsid w:val="0036063A"/>
    <w:rsid w:val="00360A3E"/>
    <w:rsid w:val="00360B9D"/>
    <w:rsid w:val="0036130F"/>
    <w:rsid w:val="0036167B"/>
    <w:rsid w:val="00361684"/>
    <w:rsid w:val="003645AF"/>
    <w:rsid w:val="00364B71"/>
    <w:rsid w:val="00365B7E"/>
    <w:rsid w:val="00365F2D"/>
    <w:rsid w:val="0036642F"/>
    <w:rsid w:val="00366761"/>
    <w:rsid w:val="003670FA"/>
    <w:rsid w:val="003679E4"/>
    <w:rsid w:val="00367A9B"/>
    <w:rsid w:val="00370524"/>
    <w:rsid w:val="00370C6A"/>
    <w:rsid w:val="00371C2E"/>
    <w:rsid w:val="00372B46"/>
    <w:rsid w:val="0037375D"/>
    <w:rsid w:val="00374FED"/>
    <w:rsid w:val="00375107"/>
    <w:rsid w:val="00375573"/>
    <w:rsid w:val="003759A0"/>
    <w:rsid w:val="00375B6D"/>
    <w:rsid w:val="00375C10"/>
    <w:rsid w:val="00376A15"/>
    <w:rsid w:val="003773EB"/>
    <w:rsid w:val="00380A14"/>
    <w:rsid w:val="00381665"/>
    <w:rsid w:val="003823BC"/>
    <w:rsid w:val="003832BE"/>
    <w:rsid w:val="0038369A"/>
    <w:rsid w:val="0038396D"/>
    <w:rsid w:val="00383EE5"/>
    <w:rsid w:val="003848E0"/>
    <w:rsid w:val="00384CBD"/>
    <w:rsid w:val="00384FC5"/>
    <w:rsid w:val="0038525B"/>
    <w:rsid w:val="0038632F"/>
    <w:rsid w:val="00386409"/>
    <w:rsid w:val="0038661C"/>
    <w:rsid w:val="00386ACF"/>
    <w:rsid w:val="003874F2"/>
    <w:rsid w:val="003879C0"/>
    <w:rsid w:val="00387AE0"/>
    <w:rsid w:val="00387DA8"/>
    <w:rsid w:val="00391B2F"/>
    <w:rsid w:val="0039274A"/>
    <w:rsid w:val="003933C9"/>
    <w:rsid w:val="00394ACA"/>
    <w:rsid w:val="0039530C"/>
    <w:rsid w:val="003953D8"/>
    <w:rsid w:val="00395D67"/>
    <w:rsid w:val="00396E06"/>
    <w:rsid w:val="00397958"/>
    <w:rsid w:val="00397F67"/>
    <w:rsid w:val="003A0949"/>
    <w:rsid w:val="003A0DFE"/>
    <w:rsid w:val="003A0F5F"/>
    <w:rsid w:val="003A28FF"/>
    <w:rsid w:val="003A2E0F"/>
    <w:rsid w:val="003A2F6A"/>
    <w:rsid w:val="003A3944"/>
    <w:rsid w:val="003A3ED4"/>
    <w:rsid w:val="003A45E3"/>
    <w:rsid w:val="003A4F1C"/>
    <w:rsid w:val="003A6AAD"/>
    <w:rsid w:val="003A6CD0"/>
    <w:rsid w:val="003A787B"/>
    <w:rsid w:val="003B0244"/>
    <w:rsid w:val="003B040E"/>
    <w:rsid w:val="003B0ED2"/>
    <w:rsid w:val="003B37FF"/>
    <w:rsid w:val="003B3FE2"/>
    <w:rsid w:val="003B47A6"/>
    <w:rsid w:val="003B4F6D"/>
    <w:rsid w:val="003B662F"/>
    <w:rsid w:val="003B6FBA"/>
    <w:rsid w:val="003C2486"/>
    <w:rsid w:val="003C2E48"/>
    <w:rsid w:val="003C344D"/>
    <w:rsid w:val="003C5D48"/>
    <w:rsid w:val="003C6884"/>
    <w:rsid w:val="003C7929"/>
    <w:rsid w:val="003D136A"/>
    <w:rsid w:val="003D34A6"/>
    <w:rsid w:val="003D3E14"/>
    <w:rsid w:val="003D5963"/>
    <w:rsid w:val="003D5D39"/>
    <w:rsid w:val="003D6E2F"/>
    <w:rsid w:val="003D6F18"/>
    <w:rsid w:val="003D7DD3"/>
    <w:rsid w:val="003E0576"/>
    <w:rsid w:val="003E0931"/>
    <w:rsid w:val="003E0BA4"/>
    <w:rsid w:val="003E116A"/>
    <w:rsid w:val="003E1353"/>
    <w:rsid w:val="003E36D7"/>
    <w:rsid w:val="003E3C0B"/>
    <w:rsid w:val="003E4252"/>
    <w:rsid w:val="003E43FB"/>
    <w:rsid w:val="003E497E"/>
    <w:rsid w:val="003E4BEB"/>
    <w:rsid w:val="003E5D43"/>
    <w:rsid w:val="003E6DEC"/>
    <w:rsid w:val="003E704E"/>
    <w:rsid w:val="003F04A8"/>
    <w:rsid w:val="003F04BF"/>
    <w:rsid w:val="003F1067"/>
    <w:rsid w:val="003F1D27"/>
    <w:rsid w:val="003F4481"/>
    <w:rsid w:val="003F5972"/>
    <w:rsid w:val="003F6407"/>
    <w:rsid w:val="003F64F4"/>
    <w:rsid w:val="003F6A6C"/>
    <w:rsid w:val="003F7AB8"/>
    <w:rsid w:val="00400114"/>
    <w:rsid w:val="00400273"/>
    <w:rsid w:val="0040042C"/>
    <w:rsid w:val="00400E85"/>
    <w:rsid w:val="004016B5"/>
    <w:rsid w:val="004025CE"/>
    <w:rsid w:val="00402A63"/>
    <w:rsid w:val="00402AEF"/>
    <w:rsid w:val="004030FD"/>
    <w:rsid w:val="00403E05"/>
    <w:rsid w:val="00404A3F"/>
    <w:rsid w:val="00404B74"/>
    <w:rsid w:val="00404C80"/>
    <w:rsid w:val="00404FCE"/>
    <w:rsid w:val="00405804"/>
    <w:rsid w:val="004067EE"/>
    <w:rsid w:val="00410DA0"/>
    <w:rsid w:val="00411DA4"/>
    <w:rsid w:val="00411DEA"/>
    <w:rsid w:val="004121F7"/>
    <w:rsid w:val="00412589"/>
    <w:rsid w:val="004128D6"/>
    <w:rsid w:val="00413960"/>
    <w:rsid w:val="004139A1"/>
    <w:rsid w:val="00413BA4"/>
    <w:rsid w:val="00413F15"/>
    <w:rsid w:val="004145D5"/>
    <w:rsid w:val="00414BCD"/>
    <w:rsid w:val="00415370"/>
    <w:rsid w:val="00416C8F"/>
    <w:rsid w:val="00416FF4"/>
    <w:rsid w:val="004171BA"/>
    <w:rsid w:val="004176EB"/>
    <w:rsid w:val="00417C7D"/>
    <w:rsid w:val="00420979"/>
    <w:rsid w:val="00420A77"/>
    <w:rsid w:val="00420EA3"/>
    <w:rsid w:val="00420FD7"/>
    <w:rsid w:val="004228E5"/>
    <w:rsid w:val="00422A51"/>
    <w:rsid w:val="00423BEF"/>
    <w:rsid w:val="00423E1B"/>
    <w:rsid w:val="0042407C"/>
    <w:rsid w:val="004243B9"/>
    <w:rsid w:val="004244A2"/>
    <w:rsid w:val="00425033"/>
    <w:rsid w:val="004253E4"/>
    <w:rsid w:val="0042573D"/>
    <w:rsid w:val="00427118"/>
    <w:rsid w:val="0043013B"/>
    <w:rsid w:val="004322F9"/>
    <w:rsid w:val="00432337"/>
    <w:rsid w:val="004327EA"/>
    <w:rsid w:val="00433101"/>
    <w:rsid w:val="00433B0F"/>
    <w:rsid w:val="004344EA"/>
    <w:rsid w:val="00434508"/>
    <w:rsid w:val="0043549A"/>
    <w:rsid w:val="004355D3"/>
    <w:rsid w:val="004356E3"/>
    <w:rsid w:val="0043639E"/>
    <w:rsid w:val="004371E1"/>
    <w:rsid w:val="004375D4"/>
    <w:rsid w:val="004400AB"/>
    <w:rsid w:val="0044017F"/>
    <w:rsid w:val="00440205"/>
    <w:rsid w:val="0044098C"/>
    <w:rsid w:val="004411D9"/>
    <w:rsid w:val="00441C9D"/>
    <w:rsid w:val="004432BF"/>
    <w:rsid w:val="004437A5"/>
    <w:rsid w:val="00443B69"/>
    <w:rsid w:val="00444E18"/>
    <w:rsid w:val="0044548B"/>
    <w:rsid w:val="00445DAF"/>
    <w:rsid w:val="00445E13"/>
    <w:rsid w:val="004475C4"/>
    <w:rsid w:val="004479E4"/>
    <w:rsid w:val="00447E03"/>
    <w:rsid w:val="00451772"/>
    <w:rsid w:val="004521D1"/>
    <w:rsid w:val="0045409D"/>
    <w:rsid w:val="0045570B"/>
    <w:rsid w:val="00456A9C"/>
    <w:rsid w:val="004571D7"/>
    <w:rsid w:val="004573B2"/>
    <w:rsid w:val="004574F3"/>
    <w:rsid w:val="00460639"/>
    <w:rsid w:val="00460D19"/>
    <w:rsid w:val="00461161"/>
    <w:rsid w:val="004618FA"/>
    <w:rsid w:val="00465079"/>
    <w:rsid w:val="0046514C"/>
    <w:rsid w:val="00465592"/>
    <w:rsid w:val="004675DF"/>
    <w:rsid w:val="0047018C"/>
    <w:rsid w:val="00470A8C"/>
    <w:rsid w:val="0047227B"/>
    <w:rsid w:val="00473739"/>
    <w:rsid w:val="00473B38"/>
    <w:rsid w:val="004753D6"/>
    <w:rsid w:val="00475AA4"/>
    <w:rsid w:val="00476E90"/>
    <w:rsid w:val="00477416"/>
    <w:rsid w:val="004778F2"/>
    <w:rsid w:val="00477C69"/>
    <w:rsid w:val="00477E36"/>
    <w:rsid w:val="00477FE3"/>
    <w:rsid w:val="004801E6"/>
    <w:rsid w:val="00481E30"/>
    <w:rsid w:val="00482554"/>
    <w:rsid w:val="004835A0"/>
    <w:rsid w:val="00483635"/>
    <w:rsid w:val="004845D8"/>
    <w:rsid w:val="00484C3A"/>
    <w:rsid w:val="00485679"/>
    <w:rsid w:val="004862E1"/>
    <w:rsid w:val="00486390"/>
    <w:rsid w:val="00487D25"/>
    <w:rsid w:val="00490B1E"/>
    <w:rsid w:val="00490DE6"/>
    <w:rsid w:val="004920AC"/>
    <w:rsid w:val="0049296C"/>
    <w:rsid w:val="00492B8C"/>
    <w:rsid w:val="00493748"/>
    <w:rsid w:val="00493EE0"/>
    <w:rsid w:val="00493F16"/>
    <w:rsid w:val="00494684"/>
    <w:rsid w:val="00494B2F"/>
    <w:rsid w:val="00495542"/>
    <w:rsid w:val="00495B0E"/>
    <w:rsid w:val="004A1116"/>
    <w:rsid w:val="004A1B71"/>
    <w:rsid w:val="004A1BE7"/>
    <w:rsid w:val="004A364A"/>
    <w:rsid w:val="004A3D6D"/>
    <w:rsid w:val="004A4A28"/>
    <w:rsid w:val="004A4AC3"/>
    <w:rsid w:val="004A53EA"/>
    <w:rsid w:val="004A5A08"/>
    <w:rsid w:val="004A5FED"/>
    <w:rsid w:val="004A6A23"/>
    <w:rsid w:val="004A6B35"/>
    <w:rsid w:val="004A6FF5"/>
    <w:rsid w:val="004A7C65"/>
    <w:rsid w:val="004B001F"/>
    <w:rsid w:val="004B02D1"/>
    <w:rsid w:val="004B0456"/>
    <w:rsid w:val="004B04E1"/>
    <w:rsid w:val="004B0DE6"/>
    <w:rsid w:val="004B23C0"/>
    <w:rsid w:val="004B2B38"/>
    <w:rsid w:val="004B32A3"/>
    <w:rsid w:val="004B38BE"/>
    <w:rsid w:val="004B3D19"/>
    <w:rsid w:val="004B41C2"/>
    <w:rsid w:val="004B56BD"/>
    <w:rsid w:val="004B6247"/>
    <w:rsid w:val="004B6633"/>
    <w:rsid w:val="004C053C"/>
    <w:rsid w:val="004C095A"/>
    <w:rsid w:val="004C0E71"/>
    <w:rsid w:val="004C25F4"/>
    <w:rsid w:val="004C3B9F"/>
    <w:rsid w:val="004C3E22"/>
    <w:rsid w:val="004C47ED"/>
    <w:rsid w:val="004C4E48"/>
    <w:rsid w:val="004C4E4C"/>
    <w:rsid w:val="004C608A"/>
    <w:rsid w:val="004C6692"/>
    <w:rsid w:val="004C69DC"/>
    <w:rsid w:val="004C6F25"/>
    <w:rsid w:val="004C7576"/>
    <w:rsid w:val="004D020C"/>
    <w:rsid w:val="004D03AD"/>
    <w:rsid w:val="004D0DAF"/>
    <w:rsid w:val="004D0ED6"/>
    <w:rsid w:val="004D1A60"/>
    <w:rsid w:val="004D1C4C"/>
    <w:rsid w:val="004D1C97"/>
    <w:rsid w:val="004D2FBF"/>
    <w:rsid w:val="004D3E95"/>
    <w:rsid w:val="004D4580"/>
    <w:rsid w:val="004D4988"/>
    <w:rsid w:val="004D5FB2"/>
    <w:rsid w:val="004D6490"/>
    <w:rsid w:val="004D688D"/>
    <w:rsid w:val="004D6BBE"/>
    <w:rsid w:val="004E246A"/>
    <w:rsid w:val="004E391C"/>
    <w:rsid w:val="004E415F"/>
    <w:rsid w:val="004E4EF5"/>
    <w:rsid w:val="004E54E3"/>
    <w:rsid w:val="004E6716"/>
    <w:rsid w:val="004E7063"/>
    <w:rsid w:val="004F01F1"/>
    <w:rsid w:val="004F027F"/>
    <w:rsid w:val="004F0F91"/>
    <w:rsid w:val="004F20B1"/>
    <w:rsid w:val="004F4FB2"/>
    <w:rsid w:val="004F6968"/>
    <w:rsid w:val="004F6AFF"/>
    <w:rsid w:val="004F70CB"/>
    <w:rsid w:val="004F7E87"/>
    <w:rsid w:val="005000C4"/>
    <w:rsid w:val="00500A48"/>
    <w:rsid w:val="00500C86"/>
    <w:rsid w:val="00500E17"/>
    <w:rsid w:val="00502D86"/>
    <w:rsid w:val="005031A1"/>
    <w:rsid w:val="00503ACC"/>
    <w:rsid w:val="00506C52"/>
    <w:rsid w:val="005075DE"/>
    <w:rsid w:val="00507C66"/>
    <w:rsid w:val="0051014F"/>
    <w:rsid w:val="0051020D"/>
    <w:rsid w:val="00510C56"/>
    <w:rsid w:val="00511160"/>
    <w:rsid w:val="00511607"/>
    <w:rsid w:val="0051179F"/>
    <w:rsid w:val="00511890"/>
    <w:rsid w:val="00512927"/>
    <w:rsid w:val="0051351F"/>
    <w:rsid w:val="00513730"/>
    <w:rsid w:val="00513CBB"/>
    <w:rsid w:val="005142E4"/>
    <w:rsid w:val="00514C05"/>
    <w:rsid w:val="00515082"/>
    <w:rsid w:val="00515272"/>
    <w:rsid w:val="005158A4"/>
    <w:rsid w:val="005165A1"/>
    <w:rsid w:val="005166D7"/>
    <w:rsid w:val="00516CCD"/>
    <w:rsid w:val="00517518"/>
    <w:rsid w:val="00517FC3"/>
    <w:rsid w:val="00520B7B"/>
    <w:rsid w:val="00520F97"/>
    <w:rsid w:val="0052167B"/>
    <w:rsid w:val="005224ED"/>
    <w:rsid w:val="005228B2"/>
    <w:rsid w:val="005231D7"/>
    <w:rsid w:val="005232E5"/>
    <w:rsid w:val="005235B3"/>
    <w:rsid w:val="005247E4"/>
    <w:rsid w:val="0052524E"/>
    <w:rsid w:val="005255CF"/>
    <w:rsid w:val="00525986"/>
    <w:rsid w:val="00525A69"/>
    <w:rsid w:val="00526B54"/>
    <w:rsid w:val="00526DA7"/>
    <w:rsid w:val="00526DB1"/>
    <w:rsid w:val="00526F0E"/>
    <w:rsid w:val="00527157"/>
    <w:rsid w:val="005279F2"/>
    <w:rsid w:val="00530301"/>
    <w:rsid w:val="00531B74"/>
    <w:rsid w:val="00533EFF"/>
    <w:rsid w:val="0053454E"/>
    <w:rsid w:val="00534A81"/>
    <w:rsid w:val="00534C2D"/>
    <w:rsid w:val="005372D7"/>
    <w:rsid w:val="005373F4"/>
    <w:rsid w:val="00537FCD"/>
    <w:rsid w:val="005401BA"/>
    <w:rsid w:val="00541035"/>
    <w:rsid w:val="00541538"/>
    <w:rsid w:val="005425FD"/>
    <w:rsid w:val="005431E5"/>
    <w:rsid w:val="0054362C"/>
    <w:rsid w:val="00544F4F"/>
    <w:rsid w:val="0054502D"/>
    <w:rsid w:val="005455C0"/>
    <w:rsid w:val="005457D9"/>
    <w:rsid w:val="00546D13"/>
    <w:rsid w:val="00547406"/>
    <w:rsid w:val="0055120F"/>
    <w:rsid w:val="00552CD4"/>
    <w:rsid w:val="00552E4F"/>
    <w:rsid w:val="00553E28"/>
    <w:rsid w:val="0055411A"/>
    <w:rsid w:val="005552F0"/>
    <w:rsid w:val="00555969"/>
    <w:rsid w:val="00557332"/>
    <w:rsid w:val="00557339"/>
    <w:rsid w:val="005573BF"/>
    <w:rsid w:val="0056029A"/>
    <w:rsid w:val="0056061C"/>
    <w:rsid w:val="005615FC"/>
    <w:rsid w:val="00564456"/>
    <w:rsid w:val="00564CC8"/>
    <w:rsid w:val="00565ABC"/>
    <w:rsid w:val="00566638"/>
    <w:rsid w:val="005670E7"/>
    <w:rsid w:val="005678A8"/>
    <w:rsid w:val="0057033F"/>
    <w:rsid w:val="00570527"/>
    <w:rsid w:val="00571098"/>
    <w:rsid w:val="00571981"/>
    <w:rsid w:val="00571C8A"/>
    <w:rsid w:val="00572349"/>
    <w:rsid w:val="00572654"/>
    <w:rsid w:val="00573BD1"/>
    <w:rsid w:val="0057493D"/>
    <w:rsid w:val="00574DA8"/>
    <w:rsid w:val="005756FC"/>
    <w:rsid w:val="0057599D"/>
    <w:rsid w:val="00576ECD"/>
    <w:rsid w:val="00577037"/>
    <w:rsid w:val="00577216"/>
    <w:rsid w:val="00577284"/>
    <w:rsid w:val="00577D7E"/>
    <w:rsid w:val="00577ECF"/>
    <w:rsid w:val="00580079"/>
    <w:rsid w:val="00580FB6"/>
    <w:rsid w:val="00581013"/>
    <w:rsid w:val="00582724"/>
    <w:rsid w:val="00583726"/>
    <w:rsid w:val="00583FF9"/>
    <w:rsid w:val="0058419C"/>
    <w:rsid w:val="005843E0"/>
    <w:rsid w:val="005855ED"/>
    <w:rsid w:val="00585FD6"/>
    <w:rsid w:val="005864E5"/>
    <w:rsid w:val="005866E4"/>
    <w:rsid w:val="00587C09"/>
    <w:rsid w:val="00587CBD"/>
    <w:rsid w:val="00591A31"/>
    <w:rsid w:val="00591E8A"/>
    <w:rsid w:val="0059203E"/>
    <w:rsid w:val="00592128"/>
    <w:rsid w:val="005943FF"/>
    <w:rsid w:val="005945DD"/>
    <w:rsid w:val="00595240"/>
    <w:rsid w:val="00596AC3"/>
    <w:rsid w:val="005A01F3"/>
    <w:rsid w:val="005A0D66"/>
    <w:rsid w:val="005A112D"/>
    <w:rsid w:val="005A30EB"/>
    <w:rsid w:val="005A35FF"/>
    <w:rsid w:val="005A4F5F"/>
    <w:rsid w:val="005A5598"/>
    <w:rsid w:val="005A7016"/>
    <w:rsid w:val="005A7391"/>
    <w:rsid w:val="005A7EE1"/>
    <w:rsid w:val="005B0DC6"/>
    <w:rsid w:val="005B213C"/>
    <w:rsid w:val="005B2338"/>
    <w:rsid w:val="005B245E"/>
    <w:rsid w:val="005B30C6"/>
    <w:rsid w:val="005B313B"/>
    <w:rsid w:val="005B367A"/>
    <w:rsid w:val="005B5444"/>
    <w:rsid w:val="005B5466"/>
    <w:rsid w:val="005B609F"/>
    <w:rsid w:val="005B6C6C"/>
    <w:rsid w:val="005C3F9F"/>
    <w:rsid w:val="005C4AB5"/>
    <w:rsid w:val="005C5E14"/>
    <w:rsid w:val="005C6324"/>
    <w:rsid w:val="005C6E31"/>
    <w:rsid w:val="005C6F20"/>
    <w:rsid w:val="005C77A0"/>
    <w:rsid w:val="005D0216"/>
    <w:rsid w:val="005D0824"/>
    <w:rsid w:val="005D0BA8"/>
    <w:rsid w:val="005D0C64"/>
    <w:rsid w:val="005D0CC5"/>
    <w:rsid w:val="005D1D96"/>
    <w:rsid w:val="005D21FD"/>
    <w:rsid w:val="005D3154"/>
    <w:rsid w:val="005D31B1"/>
    <w:rsid w:val="005D4613"/>
    <w:rsid w:val="005D508F"/>
    <w:rsid w:val="005D640F"/>
    <w:rsid w:val="005D7C7F"/>
    <w:rsid w:val="005E2A24"/>
    <w:rsid w:val="005E2AE0"/>
    <w:rsid w:val="005E2C54"/>
    <w:rsid w:val="005E3411"/>
    <w:rsid w:val="005E40CD"/>
    <w:rsid w:val="005E42D7"/>
    <w:rsid w:val="005E4739"/>
    <w:rsid w:val="005E4894"/>
    <w:rsid w:val="005E4935"/>
    <w:rsid w:val="005E4E05"/>
    <w:rsid w:val="005E534A"/>
    <w:rsid w:val="005E6691"/>
    <w:rsid w:val="005E77F3"/>
    <w:rsid w:val="005F009C"/>
    <w:rsid w:val="005F11C7"/>
    <w:rsid w:val="005F141C"/>
    <w:rsid w:val="005F5129"/>
    <w:rsid w:val="005F6D46"/>
    <w:rsid w:val="005F7765"/>
    <w:rsid w:val="005F7C1B"/>
    <w:rsid w:val="00600009"/>
    <w:rsid w:val="006000F1"/>
    <w:rsid w:val="00600152"/>
    <w:rsid w:val="00600E60"/>
    <w:rsid w:val="00602B34"/>
    <w:rsid w:val="006031D1"/>
    <w:rsid w:val="00603474"/>
    <w:rsid w:val="0060372F"/>
    <w:rsid w:val="00603A41"/>
    <w:rsid w:val="00606D36"/>
    <w:rsid w:val="006106DB"/>
    <w:rsid w:val="006114D4"/>
    <w:rsid w:val="00612CF5"/>
    <w:rsid w:val="006132A5"/>
    <w:rsid w:val="00613DB3"/>
    <w:rsid w:val="006147EC"/>
    <w:rsid w:val="00616C4B"/>
    <w:rsid w:val="006177B2"/>
    <w:rsid w:val="00620298"/>
    <w:rsid w:val="00621610"/>
    <w:rsid w:val="00621D61"/>
    <w:rsid w:val="00622400"/>
    <w:rsid w:val="00622833"/>
    <w:rsid w:val="006228B3"/>
    <w:rsid w:val="00622B26"/>
    <w:rsid w:val="006232C3"/>
    <w:rsid w:val="006236D0"/>
    <w:rsid w:val="006247FE"/>
    <w:rsid w:val="00626B93"/>
    <w:rsid w:val="006271FB"/>
    <w:rsid w:val="006310DC"/>
    <w:rsid w:val="0063116E"/>
    <w:rsid w:val="00631855"/>
    <w:rsid w:val="00632E37"/>
    <w:rsid w:val="006333C5"/>
    <w:rsid w:val="0063362B"/>
    <w:rsid w:val="006345FF"/>
    <w:rsid w:val="00634D96"/>
    <w:rsid w:val="00634E4D"/>
    <w:rsid w:val="0063510B"/>
    <w:rsid w:val="00635693"/>
    <w:rsid w:val="00635958"/>
    <w:rsid w:val="006379E2"/>
    <w:rsid w:val="00637C91"/>
    <w:rsid w:val="0064059E"/>
    <w:rsid w:val="0064150F"/>
    <w:rsid w:val="006433C0"/>
    <w:rsid w:val="00643796"/>
    <w:rsid w:val="00643878"/>
    <w:rsid w:val="00643D69"/>
    <w:rsid w:val="00644AA8"/>
    <w:rsid w:val="00645CC4"/>
    <w:rsid w:val="006463DC"/>
    <w:rsid w:val="006477C9"/>
    <w:rsid w:val="00647C15"/>
    <w:rsid w:val="00650317"/>
    <w:rsid w:val="00650D61"/>
    <w:rsid w:val="006540A7"/>
    <w:rsid w:val="0065446F"/>
    <w:rsid w:val="006555F7"/>
    <w:rsid w:val="00655F0D"/>
    <w:rsid w:val="00656C0A"/>
    <w:rsid w:val="006572F6"/>
    <w:rsid w:val="006573DD"/>
    <w:rsid w:val="006608E8"/>
    <w:rsid w:val="0066176E"/>
    <w:rsid w:val="00661949"/>
    <w:rsid w:val="006619E2"/>
    <w:rsid w:val="0066267A"/>
    <w:rsid w:val="00663063"/>
    <w:rsid w:val="0066413E"/>
    <w:rsid w:val="0066424D"/>
    <w:rsid w:val="00664554"/>
    <w:rsid w:val="006653A6"/>
    <w:rsid w:val="00665689"/>
    <w:rsid w:val="00665C08"/>
    <w:rsid w:val="0066732D"/>
    <w:rsid w:val="00667505"/>
    <w:rsid w:val="0067002E"/>
    <w:rsid w:val="006701A0"/>
    <w:rsid w:val="00670A6A"/>
    <w:rsid w:val="00670D19"/>
    <w:rsid w:val="0067112A"/>
    <w:rsid w:val="0067139A"/>
    <w:rsid w:val="00671724"/>
    <w:rsid w:val="0067183F"/>
    <w:rsid w:val="0067216E"/>
    <w:rsid w:val="0067280F"/>
    <w:rsid w:val="00673B69"/>
    <w:rsid w:val="00680085"/>
    <w:rsid w:val="00680206"/>
    <w:rsid w:val="00680DB9"/>
    <w:rsid w:val="00682499"/>
    <w:rsid w:val="00683653"/>
    <w:rsid w:val="00683B18"/>
    <w:rsid w:val="0068490B"/>
    <w:rsid w:val="00684A47"/>
    <w:rsid w:val="00684ED1"/>
    <w:rsid w:val="0068590E"/>
    <w:rsid w:val="00686758"/>
    <w:rsid w:val="00687052"/>
    <w:rsid w:val="006906F8"/>
    <w:rsid w:val="00691370"/>
    <w:rsid w:val="00691B37"/>
    <w:rsid w:val="00691D74"/>
    <w:rsid w:val="00691FB0"/>
    <w:rsid w:val="006928D3"/>
    <w:rsid w:val="006930AB"/>
    <w:rsid w:val="00694BE7"/>
    <w:rsid w:val="0069601C"/>
    <w:rsid w:val="0069607E"/>
    <w:rsid w:val="00696843"/>
    <w:rsid w:val="006A03C8"/>
    <w:rsid w:val="006A08AD"/>
    <w:rsid w:val="006A0A80"/>
    <w:rsid w:val="006A1149"/>
    <w:rsid w:val="006A1F2A"/>
    <w:rsid w:val="006A23FD"/>
    <w:rsid w:val="006A34E7"/>
    <w:rsid w:val="006A4989"/>
    <w:rsid w:val="006A4D14"/>
    <w:rsid w:val="006A6BAF"/>
    <w:rsid w:val="006A77AD"/>
    <w:rsid w:val="006B0020"/>
    <w:rsid w:val="006B020D"/>
    <w:rsid w:val="006B0617"/>
    <w:rsid w:val="006B096D"/>
    <w:rsid w:val="006B0C48"/>
    <w:rsid w:val="006B1438"/>
    <w:rsid w:val="006B1E56"/>
    <w:rsid w:val="006B241F"/>
    <w:rsid w:val="006B275D"/>
    <w:rsid w:val="006B2F48"/>
    <w:rsid w:val="006B3395"/>
    <w:rsid w:val="006B35FD"/>
    <w:rsid w:val="006B4668"/>
    <w:rsid w:val="006B4E6B"/>
    <w:rsid w:val="006B4FFA"/>
    <w:rsid w:val="006B5B6F"/>
    <w:rsid w:val="006B5D50"/>
    <w:rsid w:val="006B7006"/>
    <w:rsid w:val="006B7738"/>
    <w:rsid w:val="006C08CA"/>
    <w:rsid w:val="006C225B"/>
    <w:rsid w:val="006C232A"/>
    <w:rsid w:val="006C26DE"/>
    <w:rsid w:val="006C2A96"/>
    <w:rsid w:val="006C4277"/>
    <w:rsid w:val="006C4DDE"/>
    <w:rsid w:val="006C52A8"/>
    <w:rsid w:val="006C5EAC"/>
    <w:rsid w:val="006C624E"/>
    <w:rsid w:val="006C7CD6"/>
    <w:rsid w:val="006D00C0"/>
    <w:rsid w:val="006D02BD"/>
    <w:rsid w:val="006D02E5"/>
    <w:rsid w:val="006D0926"/>
    <w:rsid w:val="006D0C63"/>
    <w:rsid w:val="006D10FE"/>
    <w:rsid w:val="006D16BA"/>
    <w:rsid w:val="006D233C"/>
    <w:rsid w:val="006D2343"/>
    <w:rsid w:val="006D4008"/>
    <w:rsid w:val="006D5B78"/>
    <w:rsid w:val="006D5F5E"/>
    <w:rsid w:val="006D6596"/>
    <w:rsid w:val="006D6A71"/>
    <w:rsid w:val="006D74CE"/>
    <w:rsid w:val="006E012C"/>
    <w:rsid w:val="006E0627"/>
    <w:rsid w:val="006E1EEA"/>
    <w:rsid w:val="006E20B0"/>
    <w:rsid w:val="006E3874"/>
    <w:rsid w:val="006E39F3"/>
    <w:rsid w:val="006E3FFD"/>
    <w:rsid w:val="006E4C7A"/>
    <w:rsid w:val="006E4D2B"/>
    <w:rsid w:val="006E4E23"/>
    <w:rsid w:val="006E5F88"/>
    <w:rsid w:val="006E6D9B"/>
    <w:rsid w:val="006E78B3"/>
    <w:rsid w:val="006E7E37"/>
    <w:rsid w:val="006F08F2"/>
    <w:rsid w:val="006F0B1E"/>
    <w:rsid w:val="006F10AD"/>
    <w:rsid w:val="006F15A9"/>
    <w:rsid w:val="006F2B9B"/>
    <w:rsid w:val="006F3300"/>
    <w:rsid w:val="006F4521"/>
    <w:rsid w:val="006F502C"/>
    <w:rsid w:val="006F748E"/>
    <w:rsid w:val="00700231"/>
    <w:rsid w:val="0070117C"/>
    <w:rsid w:val="007021F6"/>
    <w:rsid w:val="00702D75"/>
    <w:rsid w:val="00704A0B"/>
    <w:rsid w:val="007056A8"/>
    <w:rsid w:val="007058FE"/>
    <w:rsid w:val="007067E5"/>
    <w:rsid w:val="007071BD"/>
    <w:rsid w:val="00707705"/>
    <w:rsid w:val="0071088C"/>
    <w:rsid w:val="00711F0B"/>
    <w:rsid w:val="0071232C"/>
    <w:rsid w:val="00713BB6"/>
    <w:rsid w:val="007143A0"/>
    <w:rsid w:val="007143B6"/>
    <w:rsid w:val="00714B62"/>
    <w:rsid w:val="00714DCF"/>
    <w:rsid w:val="00717F50"/>
    <w:rsid w:val="0072140D"/>
    <w:rsid w:val="00721D0C"/>
    <w:rsid w:val="00723247"/>
    <w:rsid w:val="0072364B"/>
    <w:rsid w:val="00723A34"/>
    <w:rsid w:val="00723D75"/>
    <w:rsid w:val="0072491D"/>
    <w:rsid w:val="007255E0"/>
    <w:rsid w:val="007261F3"/>
    <w:rsid w:val="00726F7C"/>
    <w:rsid w:val="00730BDA"/>
    <w:rsid w:val="00730E59"/>
    <w:rsid w:val="007315B7"/>
    <w:rsid w:val="007319FB"/>
    <w:rsid w:val="007323CF"/>
    <w:rsid w:val="00733AFB"/>
    <w:rsid w:val="00734CC7"/>
    <w:rsid w:val="00734E45"/>
    <w:rsid w:val="0073516F"/>
    <w:rsid w:val="0074034F"/>
    <w:rsid w:val="007403E9"/>
    <w:rsid w:val="0074062D"/>
    <w:rsid w:val="007407F7"/>
    <w:rsid w:val="00740D22"/>
    <w:rsid w:val="007411BF"/>
    <w:rsid w:val="00741772"/>
    <w:rsid w:val="007417A5"/>
    <w:rsid w:val="00741D34"/>
    <w:rsid w:val="00743046"/>
    <w:rsid w:val="0074456C"/>
    <w:rsid w:val="00747015"/>
    <w:rsid w:val="00750039"/>
    <w:rsid w:val="007509BF"/>
    <w:rsid w:val="00750E71"/>
    <w:rsid w:val="00751023"/>
    <w:rsid w:val="00751FF7"/>
    <w:rsid w:val="00752619"/>
    <w:rsid w:val="0075291B"/>
    <w:rsid w:val="00752A2F"/>
    <w:rsid w:val="007532ED"/>
    <w:rsid w:val="007533F8"/>
    <w:rsid w:val="00753F98"/>
    <w:rsid w:val="00754035"/>
    <w:rsid w:val="00754200"/>
    <w:rsid w:val="007550E2"/>
    <w:rsid w:val="00756CC8"/>
    <w:rsid w:val="007572C5"/>
    <w:rsid w:val="0075764D"/>
    <w:rsid w:val="00757724"/>
    <w:rsid w:val="00757B17"/>
    <w:rsid w:val="00757DC5"/>
    <w:rsid w:val="00760C64"/>
    <w:rsid w:val="00760D13"/>
    <w:rsid w:val="007611F3"/>
    <w:rsid w:val="00762121"/>
    <w:rsid w:val="00763875"/>
    <w:rsid w:val="00763F61"/>
    <w:rsid w:val="00764F95"/>
    <w:rsid w:val="0076604C"/>
    <w:rsid w:val="0076627B"/>
    <w:rsid w:val="007664F8"/>
    <w:rsid w:val="00766767"/>
    <w:rsid w:val="00766A14"/>
    <w:rsid w:val="007676AB"/>
    <w:rsid w:val="00767DB0"/>
    <w:rsid w:val="0077020F"/>
    <w:rsid w:val="00770376"/>
    <w:rsid w:val="00770CCD"/>
    <w:rsid w:val="00771A39"/>
    <w:rsid w:val="00771DCA"/>
    <w:rsid w:val="00772D1B"/>
    <w:rsid w:val="00773002"/>
    <w:rsid w:val="0077303C"/>
    <w:rsid w:val="007730A0"/>
    <w:rsid w:val="00773F96"/>
    <w:rsid w:val="0077456D"/>
    <w:rsid w:val="00774EDA"/>
    <w:rsid w:val="00774FCD"/>
    <w:rsid w:val="00775B90"/>
    <w:rsid w:val="00775FA1"/>
    <w:rsid w:val="00775FBA"/>
    <w:rsid w:val="0077614F"/>
    <w:rsid w:val="0077686C"/>
    <w:rsid w:val="007768CA"/>
    <w:rsid w:val="00776D95"/>
    <w:rsid w:val="00776FD2"/>
    <w:rsid w:val="00780E89"/>
    <w:rsid w:val="00781475"/>
    <w:rsid w:val="007818C2"/>
    <w:rsid w:val="0078211C"/>
    <w:rsid w:val="007822B0"/>
    <w:rsid w:val="007828C6"/>
    <w:rsid w:val="00782EF5"/>
    <w:rsid w:val="00783A7F"/>
    <w:rsid w:val="00783E21"/>
    <w:rsid w:val="00784BF0"/>
    <w:rsid w:val="00785838"/>
    <w:rsid w:val="00785962"/>
    <w:rsid w:val="00786892"/>
    <w:rsid w:val="00786F1D"/>
    <w:rsid w:val="00787370"/>
    <w:rsid w:val="007876C0"/>
    <w:rsid w:val="007916E4"/>
    <w:rsid w:val="00791C15"/>
    <w:rsid w:val="007935F9"/>
    <w:rsid w:val="007943F7"/>
    <w:rsid w:val="00795A99"/>
    <w:rsid w:val="00796204"/>
    <w:rsid w:val="00797065"/>
    <w:rsid w:val="007A0B26"/>
    <w:rsid w:val="007A1ECC"/>
    <w:rsid w:val="007A37BA"/>
    <w:rsid w:val="007A4AB6"/>
    <w:rsid w:val="007A4C95"/>
    <w:rsid w:val="007A4F63"/>
    <w:rsid w:val="007A5B6F"/>
    <w:rsid w:val="007A6635"/>
    <w:rsid w:val="007A6BF6"/>
    <w:rsid w:val="007A6EC2"/>
    <w:rsid w:val="007A7BE9"/>
    <w:rsid w:val="007A7F45"/>
    <w:rsid w:val="007B02F7"/>
    <w:rsid w:val="007B0787"/>
    <w:rsid w:val="007B0BE5"/>
    <w:rsid w:val="007B1146"/>
    <w:rsid w:val="007B1187"/>
    <w:rsid w:val="007B2AEA"/>
    <w:rsid w:val="007B2F9C"/>
    <w:rsid w:val="007B355D"/>
    <w:rsid w:val="007B61B3"/>
    <w:rsid w:val="007B659D"/>
    <w:rsid w:val="007B687D"/>
    <w:rsid w:val="007B705D"/>
    <w:rsid w:val="007B7102"/>
    <w:rsid w:val="007B7BF7"/>
    <w:rsid w:val="007C047C"/>
    <w:rsid w:val="007C052F"/>
    <w:rsid w:val="007C2A02"/>
    <w:rsid w:val="007C3CBF"/>
    <w:rsid w:val="007C40E2"/>
    <w:rsid w:val="007C4F2A"/>
    <w:rsid w:val="007C66C0"/>
    <w:rsid w:val="007C6DD8"/>
    <w:rsid w:val="007D08EF"/>
    <w:rsid w:val="007D0A05"/>
    <w:rsid w:val="007D10F4"/>
    <w:rsid w:val="007D2143"/>
    <w:rsid w:val="007D2960"/>
    <w:rsid w:val="007D3C17"/>
    <w:rsid w:val="007D4D6A"/>
    <w:rsid w:val="007D5086"/>
    <w:rsid w:val="007D561E"/>
    <w:rsid w:val="007D590D"/>
    <w:rsid w:val="007D5B1F"/>
    <w:rsid w:val="007D67E4"/>
    <w:rsid w:val="007D6A20"/>
    <w:rsid w:val="007D6CD7"/>
    <w:rsid w:val="007D7B98"/>
    <w:rsid w:val="007E0C94"/>
    <w:rsid w:val="007E1242"/>
    <w:rsid w:val="007E1435"/>
    <w:rsid w:val="007E18A4"/>
    <w:rsid w:val="007E2653"/>
    <w:rsid w:val="007E33C4"/>
    <w:rsid w:val="007E4411"/>
    <w:rsid w:val="007E4688"/>
    <w:rsid w:val="007E5DB1"/>
    <w:rsid w:val="007E6221"/>
    <w:rsid w:val="007E7A13"/>
    <w:rsid w:val="007E7DDC"/>
    <w:rsid w:val="007F082E"/>
    <w:rsid w:val="007F13BA"/>
    <w:rsid w:val="007F1E2A"/>
    <w:rsid w:val="007F2E95"/>
    <w:rsid w:val="007F365A"/>
    <w:rsid w:val="007F47F0"/>
    <w:rsid w:val="00800717"/>
    <w:rsid w:val="00800D39"/>
    <w:rsid w:val="00801643"/>
    <w:rsid w:val="00801E29"/>
    <w:rsid w:val="00802E87"/>
    <w:rsid w:val="00803517"/>
    <w:rsid w:val="008043BC"/>
    <w:rsid w:val="00804AE1"/>
    <w:rsid w:val="00804F0B"/>
    <w:rsid w:val="00807422"/>
    <w:rsid w:val="0080746D"/>
    <w:rsid w:val="0081041D"/>
    <w:rsid w:val="00810504"/>
    <w:rsid w:val="00810E69"/>
    <w:rsid w:val="00810F1C"/>
    <w:rsid w:val="00813171"/>
    <w:rsid w:val="008144F0"/>
    <w:rsid w:val="0081457E"/>
    <w:rsid w:val="00815373"/>
    <w:rsid w:val="00815C3F"/>
    <w:rsid w:val="008160D1"/>
    <w:rsid w:val="0081637B"/>
    <w:rsid w:val="008164E3"/>
    <w:rsid w:val="008177A9"/>
    <w:rsid w:val="00820336"/>
    <w:rsid w:val="00820AC6"/>
    <w:rsid w:val="00820F52"/>
    <w:rsid w:val="00821981"/>
    <w:rsid w:val="00823224"/>
    <w:rsid w:val="008235A0"/>
    <w:rsid w:val="0082384F"/>
    <w:rsid w:val="008275AA"/>
    <w:rsid w:val="0083038D"/>
    <w:rsid w:val="00830B29"/>
    <w:rsid w:val="00830DDA"/>
    <w:rsid w:val="00830E68"/>
    <w:rsid w:val="00830F67"/>
    <w:rsid w:val="00832172"/>
    <w:rsid w:val="00832638"/>
    <w:rsid w:val="0083310C"/>
    <w:rsid w:val="008332FA"/>
    <w:rsid w:val="008346BF"/>
    <w:rsid w:val="0083575C"/>
    <w:rsid w:val="00836898"/>
    <w:rsid w:val="0083696C"/>
    <w:rsid w:val="00837057"/>
    <w:rsid w:val="008376A0"/>
    <w:rsid w:val="008376AC"/>
    <w:rsid w:val="008379E1"/>
    <w:rsid w:val="008412B2"/>
    <w:rsid w:val="008415FE"/>
    <w:rsid w:val="00841EE8"/>
    <w:rsid w:val="00842334"/>
    <w:rsid w:val="00842451"/>
    <w:rsid w:val="0084306C"/>
    <w:rsid w:val="00843841"/>
    <w:rsid w:val="008443DE"/>
    <w:rsid w:val="0084479E"/>
    <w:rsid w:val="008456F2"/>
    <w:rsid w:val="00846567"/>
    <w:rsid w:val="00846AE3"/>
    <w:rsid w:val="00846BBB"/>
    <w:rsid w:val="008470F0"/>
    <w:rsid w:val="008534B0"/>
    <w:rsid w:val="00853AE1"/>
    <w:rsid w:val="00853E03"/>
    <w:rsid w:val="00856F87"/>
    <w:rsid w:val="00856FFF"/>
    <w:rsid w:val="00857A01"/>
    <w:rsid w:val="00860995"/>
    <w:rsid w:val="008614A4"/>
    <w:rsid w:val="008626F5"/>
    <w:rsid w:val="008628E9"/>
    <w:rsid w:val="0086434A"/>
    <w:rsid w:val="008645A5"/>
    <w:rsid w:val="0086501B"/>
    <w:rsid w:val="00865CD7"/>
    <w:rsid w:val="00865CF2"/>
    <w:rsid w:val="008665F3"/>
    <w:rsid w:val="008674C5"/>
    <w:rsid w:val="00870005"/>
    <w:rsid w:val="00870115"/>
    <w:rsid w:val="00871493"/>
    <w:rsid w:val="008727A6"/>
    <w:rsid w:val="00872E03"/>
    <w:rsid w:val="00874A87"/>
    <w:rsid w:val="00874C85"/>
    <w:rsid w:val="00874FA5"/>
    <w:rsid w:val="00875100"/>
    <w:rsid w:val="00875380"/>
    <w:rsid w:val="00875621"/>
    <w:rsid w:val="00876655"/>
    <w:rsid w:val="00876FD7"/>
    <w:rsid w:val="008807DA"/>
    <w:rsid w:val="00882629"/>
    <w:rsid w:val="00882930"/>
    <w:rsid w:val="00883331"/>
    <w:rsid w:val="00883553"/>
    <w:rsid w:val="00883A6C"/>
    <w:rsid w:val="00884369"/>
    <w:rsid w:val="0088485C"/>
    <w:rsid w:val="00885ADB"/>
    <w:rsid w:val="008901FC"/>
    <w:rsid w:val="008903A5"/>
    <w:rsid w:val="0089047B"/>
    <w:rsid w:val="00890F46"/>
    <w:rsid w:val="0089250A"/>
    <w:rsid w:val="00892844"/>
    <w:rsid w:val="00892C5B"/>
    <w:rsid w:val="00892E1B"/>
    <w:rsid w:val="0089393C"/>
    <w:rsid w:val="008948F4"/>
    <w:rsid w:val="00894D9F"/>
    <w:rsid w:val="0089590D"/>
    <w:rsid w:val="00895DB8"/>
    <w:rsid w:val="00896B69"/>
    <w:rsid w:val="00897BF0"/>
    <w:rsid w:val="008A03F2"/>
    <w:rsid w:val="008A0446"/>
    <w:rsid w:val="008A1478"/>
    <w:rsid w:val="008A1618"/>
    <w:rsid w:val="008A2546"/>
    <w:rsid w:val="008A3365"/>
    <w:rsid w:val="008A4051"/>
    <w:rsid w:val="008A431E"/>
    <w:rsid w:val="008A49B3"/>
    <w:rsid w:val="008A54D7"/>
    <w:rsid w:val="008A5A4B"/>
    <w:rsid w:val="008A61E0"/>
    <w:rsid w:val="008A6F16"/>
    <w:rsid w:val="008B0644"/>
    <w:rsid w:val="008B13B1"/>
    <w:rsid w:val="008B14D7"/>
    <w:rsid w:val="008B2A4B"/>
    <w:rsid w:val="008B3084"/>
    <w:rsid w:val="008B30B7"/>
    <w:rsid w:val="008B31A4"/>
    <w:rsid w:val="008B35D6"/>
    <w:rsid w:val="008B55B7"/>
    <w:rsid w:val="008B5684"/>
    <w:rsid w:val="008B6133"/>
    <w:rsid w:val="008B6924"/>
    <w:rsid w:val="008B7144"/>
    <w:rsid w:val="008B719C"/>
    <w:rsid w:val="008B743E"/>
    <w:rsid w:val="008B78A7"/>
    <w:rsid w:val="008B7B84"/>
    <w:rsid w:val="008C3594"/>
    <w:rsid w:val="008C3899"/>
    <w:rsid w:val="008C38B0"/>
    <w:rsid w:val="008C56AF"/>
    <w:rsid w:val="008C5A25"/>
    <w:rsid w:val="008C711F"/>
    <w:rsid w:val="008D0A98"/>
    <w:rsid w:val="008D0C69"/>
    <w:rsid w:val="008D18EA"/>
    <w:rsid w:val="008D1CD2"/>
    <w:rsid w:val="008D25F4"/>
    <w:rsid w:val="008D3317"/>
    <w:rsid w:val="008D3857"/>
    <w:rsid w:val="008D3A62"/>
    <w:rsid w:val="008D4722"/>
    <w:rsid w:val="008D4FE5"/>
    <w:rsid w:val="008D5645"/>
    <w:rsid w:val="008D6A2D"/>
    <w:rsid w:val="008D774A"/>
    <w:rsid w:val="008D7AA0"/>
    <w:rsid w:val="008D7DFA"/>
    <w:rsid w:val="008E0084"/>
    <w:rsid w:val="008E0862"/>
    <w:rsid w:val="008E0B4C"/>
    <w:rsid w:val="008E13CB"/>
    <w:rsid w:val="008E14A7"/>
    <w:rsid w:val="008E2A59"/>
    <w:rsid w:val="008E2FB9"/>
    <w:rsid w:val="008E3C5A"/>
    <w:rsid w:val="008E5CAB"/>
    <w:rsid w:val="008E6FE8"/>
    <w:rsid w:val="008F1C8D"/>
    <w:rsid w:val="008F3A86"/>
    <w:rsid w:val="008F45EC"/>
    <w:rsid w:val="008F5409"/>
    <w:rsid w:val="008F5B60"/>
    <w:rsid w:val="008F612E"/>
    <w:rsid w:val="008F6C07"/>
    <w:rsid w:val="008F731C"/>
    <w:rsid w:val="009019A2"/>
    <w:rsid w:val="009021EB"/>
    <w:rsid w:val="0090251D"/>
    <w:rsid w:val="00903397"/>
    <w:rsid w:val="00903A9E"/>
    <w:rsid w:val="00903F13"/>
    <w:rsid w:val="0090429A"/>
    <w:rsid w:val="0090454E"/>
    <w:rsid w:val="00905ABF"/>
    <w:rsid w:val="0090603D"/>
    <w:rsid w:val="0090621F"/>
    <w:rsid w:val="009064E9"/>
    <w:rsid w:val="00906C1E"/>
    <w:rsid w:val="009075F7"/>
    <w:rsid w:val="00911C6F"/>
    <w:rsid w:val="0091201D"/>
    <w:rsid w:val="00912841"/>
    <w:rsid w:val="00912C95"/>
    <w:rsid w:val="00912E45"/>
    <w:rsid w:val="00914603"/>
    <w:rsid w:val="00914B0F"/>
    <w:rsid w:val="00915344"/>
    <w:rsid w:val="00915A79"/>
    <w:rsid w:val="00915BAC"/>
    <w:rsid w:val="00917D7D"/>
    <w:rsid w:val="00917F5C"/>
    <w:rsid w:val="00920344"/>
    <w:rsid w:val="009203D2"/>
    <w:rsid w:val="00920C99"/>
    <w:rsid w:val="00922422"/>
    <w:rsid w:val="00923005"/>
    <w:rsid w:val="0092352A"/>
    <w:rsid w:val="0092393F"/>
    <w:rsid w:val="00923A78"/>
    <w:rsid w:val="00923EB4"/>
    <w:rsid w:val="009251A0"/>
    <w:rsid w:val="009253AA"/>
    <w:rsid w:val="00925584"/>
    <w:rsid w:val="009262FB"/>
    <w:rsid w:val="00926B45"/>
    <w:rsid w:val="0092728B"/>
    <w:rsid w:val="0092764B"/>
    <w:rsid w:val="009278A8"/>
    <w:rsid w:val="009278ED"/>
    <w:rsid w:val="00930D4B"/>
    <w:rsid w:val="00931168"/>
    <w:rsid w:val="009315D3"/>
    <w:rsid w:val="00932A97"/>
    <w:rsid w:val="00932CA7"/>
    <w:rsid w:val="00932D31"/>
    <w:rsid w:val="00933041"/>
    <w:rsid w:val="00933336"/>
    <w:rsid w:val="00934DE9"/>
    <w:rsid w:val="00934ECC"/>
    <w:rsid w:val="009362B2"/>
    <w:rsid w:val="00936366"/>
    <w:rsid w:val="009365B4"/>
    <w:rsid w:val="00936C17"/>
    <w:rsid w:val="00936DBF"/>
    <w:rsid w:val="00937994"/>
    <w:rsid w:val="00937CFE"/>
    <w:rsid w:val="00940BCF"/>
    <w:rsid w:val="0094258A"/>
    <w:rsid w:val="0094384A"/>
    <w:rsid w:val="00943BB9"/>
    <w:rsid w:val="009446CE"/>
    <w:rsid w:val="00944EB1"/>
    <w:rsid w:val="0094658D"/>
    <w:rsid w:val="00946897"/>
    <w:rsid w:val="0094759A"/>
    <w:rsid w:val="009520BC"/>
    <w:rsid w:val="00953FE2"/>
    <w:rsid w:val="00954836"/>
    <w:rsid w:val="00954C1E"/>
    <w:rsid w:val="00954DFC"/>
    <w:rsid w:val="00955C53"/>
    <w:rsid w:val="00956C80"/>
    <w:rsid w:val="00956D18"/>
    <w:rsid w:val="00956E5F"/>
    <w:rsid w:val="00957B09"/>
    <w:rsid w:val="00957B48"/>
    <w:rsid w:val="00960238"/>
    <w:rsid w:val="00961623"/>
    <w:rsid w:val="00961FA3"/>
    <w:rsid w:val="0096243F"/>
    <w:rsid w:val="00962662"/>
    <w:rsid w:val="0096304A"/>
    <w:rsid w:val="0096316F"/>
    <w:rsid w:val="00963867"/>
    <w:rsid w:val="00963B8F"/>
    <w:rsid w:val="00963F42"/>
    <w:rsid w:val="0096462B"/>
    <w:rsid w:val="00966871"/>
    <w:rsid w:val="00967466"/>
    <w:rsid w:val="00967E5D"/>
    <w:rsid w:val="00970488"/>
    <w:rsid w:val="00971234"/>
    <w:rsid w:val="00971BA8"/>
    <w:rsid w:val="00972BCA"/>
    <w:rsid w:val="00972F6C"/>
    <w:rsid w:val="00973128"/>
    <w:rsid w:val="00974424"/>
    <w:rsid w:val="00976DE8"/>
    <w:rsid w:val="00977650"/>
    <w:rsid w:val="00977692"/>
    <w:rsid w:val="00977941"/>
    <w:rsid w:val="009803D6"/>
    <w:rsid w:val="00980C8E"/>
    <w:rsid w:val="00981B84"/>
    <w:rsid w:val="00984842"/>
    <w:rsid w:val="00984BF6"/>
    <w:rsid w:val="00985B32"/>
    <w:rsid w:val="009864F7"/>
    <w:rsid w:val="009866E4"/>
    <w:rsid w:val="009876FA"/>
    <w:rsid w:val="00990428"/>
    <w:rsid w:val="009905FE"/>
    <w:rsid w:val="00991DAD"/>
    <w:rsid w:val="00991F82"/>
    <w:rsid w:val="009947AA"/>
    <w:rsid w:val="00994C06"/>
    <w:rsid w:val="0099600A"/>
    <w:rsid w:val="00996FD4"/>
    <w:rsid w:val="009A026F"/>
    <w:rsid w:val="009A1833"/>
    <w:rsid w:val="009A1854"/>
    <w:rsid w:val="009A264F"/>
    <w:rsid w:val="009A3A89"/>
    <w:rsid w:val="009A3FF8"/>
    <w:rsid w:val="009A4E15"/>
    <w:rsid w:val="009A5571"/>
    <w:rsid w:val="009A5AA5"/>
    <w:rsid w:val="009A6319"/>
    <w:rsid w:val="009A643B"/>
    <w:rsid w:val="009A6AE6"/>
    <w:rsid w:val="009A6B0C"/>
    <w:rsid w:val="009A75E2"/>
    <w:rsid w:val="009A7B92"/>
    <w:rsid w:val="009A7BFF"/>
    <w:rsid w:val="009A7E9E"/>
    <w:rsid w:val="009B07F5"/>
    <w:rsid w:val="009B1D25"/>
    <w:rsid w:val="009B20D1"/>
    <w:rsid w:val="009B2246"/>
    <w:rsid w:val="009B24A6"/>
    <w:rsid w:val="009B2E8A"/>
    <w:rsid w:val="009B2ED6"/>
    <w:rsid w:val="009B33CE"/>
    <w:rsid w:val="009B4AE5"/>
    <w:rsid w:val="009B5744"/>
    <w:rsid w:val="009B5F26"/>
    <w:rsid w:val="009B679C"/>
    <w:rsid w:val="009B6C1F"/>
    <w:rsid w:val="009B6D71"/>
    <w:rsid w:val="009B7132"/>
    <w:rsid w:val="009B73CA"/>
    <w:rsid w:val="009C1FE5"/>
    <w:rsid w:val="009C1FF4"/>
    <w:rsid w:val="009C32C2"/>
    <w:rsid w:val="009C4368"/>
    <w:rsid w:val="009C49F6"/>
    <w:rsid w:val="009C7782"/>
    <w:rsid w:val="009D08D3"/>
    <w:rsid w:val="009D0A76"/>
    <w:rsid w:val="009D0B4F"/>
    <w:rsid w:val="009D1D59"/>
    <w:rsid w:val="009D3198"/>
    <w:rsid w:val="009D3958"/>
    <w:rsid w:val="009D3EBF"/>
    <w:rsid w:val="009D414F"/>
    <w:rsid w:val="009D56A7"/>
    <w:rsid w:val="009D57A2"/>
    <w:rsid w:val="009D5FA4"/>
    <w:rsid w:val="009D6090"/>
    <w:rsid w:val="009D7A57"/>
    <w:rsid w:val="009E053A"/>
    <w:rsid w:val="009E0D64"/>
    <w:rsid w:val="009E0E63"/>
    <w:rsid w:val="009E0E79"/>
    <w:rsid w:val="009E1CB3"/>
    <w:rsid w:val="009E20F2"/>
    <w:rsid w:val="009E230D"/>
    <w:rsid w:val="009E2E2A"/>
    <w:rsid w:val="009E3112"/>
    <w:rsid w:val="009E5FBC"/>
    <w:rsid w:val="009E6208"/>
    <w:rsid w:val="009E6D69"/>
    <w:rsid w:val="009E728A"/>
    <w:rsid w:val="009E72D5"/>
    <w:rsid w:val="009E7C91"/>
    <w:rsid w:val="009F08AA"/>
    <w:rsid w:val="009F092A"/>
    <w:rsid w:val="009F109A"/>
    <w:rsid w:val="009F1779"/>
    <w:rsid w:val="009F2AA7"/>
    <w:rsid w:val="009F4A35"/>
    <w:rsid w:val="009F5E4F"/>
    <w:rsid w:val="009F6EA7"/>
    <w:rsid w:val="009F7A91"/>
    <w:rsid w:val="009F7EB6"/>
    <w:rsid w:val="00A00099"/>
    <w:rsid w:val="00A006C8"/>
    <w:rsid w:val="00A0188B"/>
    <w:rsid w:val="00A02997"/>
    <w:rsid w:val="00A02F09"/>
    <w:rsid w:val="00A041C0"/>
    <w:rsid w:val="00A04927"/>
    <w:rsid w:val="00A0591A"/>
    <w:rsid w:val="00A05D53"/>
    <w:rsid w:val="00A0627A"/>
    <w:rsid w:val="00A10BFD"/>
    <w:rsid w:val="00A1258A"/>
    <w:rsid w:val="00A13494"/>
    <w:rsid w:val="00A14D75"/>
    <w:rsid w:val="00A1501B"/>
    <w:rsid w:val="00A15421"/>
    <w:rsid w:val="00A15DF8"/>
    <w:rsid w:val="00A16002"/>
    <w:rsid w:val="00A16906"/>
    <w:rsid w:val="00A203F8"/>
    <w:rsid w:val="00A21015"/>
    <w:rsid w:val="00A2180D"/>
    <w:rsid w:val="00A23A46"/>
    <w:rsid w:val="00A23A9B"/>
    <w:rsid w:val="00A25A83"/>
    <w:rsid w:val="00A26585"/>
    <w:rsid w:val="00A265CE"/>
    <w:rsid w:val="00A26723"/>
    <w:rsid w:val="00A27158"/>
    <w:rsid w:val="00A275B0"/>
    <w:rsid w:val="00A27E33"/>
    <w:rsid w:val="00A30ED4"/>
    <w:rsid w:val="00A31756"/>
    <w:rsid w:val="00A31EA4"/>
    <w:rsid w:val="00A32B5D"/>
    <w:rsid w:val="00A33173"/>
    <w:rsid w:val="00A36DDE"/>
    <w:rsid w:val="00A37D33"/>
    <w:rsid w:val="00A37DC4"/>
    <w:rsid w:val="00A37E82"/>
    <w:rsid w:val="00A4008D"/>
    <w:rsid w:val="00A40194"/>
    <w:rsid w:val="00A40548"/>
    <w:rsid w:val="00A40B45"/>
    <w:rsid w:val="00A428C8"/>
    <w:rsid w:val="00A44B29"/>
    <w:rsid w:val="00A44CA0"/>
    <w:rsid w:val="00A45557"/>
    <w:rsid w:val="00A47714"/>
    <w:rsid w:val="00A477AE"/>
    <w:rsid w:val="00A47B0C"/>
    <w:rsid w:val="00A501D3"/>
    <w:rsid w:val="00A50FC1"/>
    <w:rsid w:val="00A519F2"/>
    <w:rsid w:val="00A5334C"/>
    <w:rsid w:val="00A54759"/>
    <w:rsid w:val="00A54D83"/>
    <w:rsid w:val="00A5609B"/>
    <w:rsid w:val="00A5769B"/>
    <w:rsid w:val="00A576B7"/>
    <w:rsid w:val="00A6159C"/>
    <w:rsid w:val="00A6491F"/>
    <w:rsid w:val="00A65201"/>
    <w:rsid w:val="00A65A42"/>
    <w:rsid w:val="00A65AE2"/>
    <w:rsid w:val="00A6636F"/>
    <w:rsid w:val="00A670E0"/>
    <w:rsid w:val="00A67942"/>
    <w:rsid w:val="00A67D2D"/>
    <w:rsid w:val="00A700F1"/>
    <w:rsid w:val="00A70430"/>
    <w:rsid w:val="00A707C7"/>
    <w:rsid w:val="00A7115B"/>
    <w:rsid w:val="00A72465"/>
    <w:rsid w:val="00A727F6"/>
    <w:rsid w:val="00A7289D"/>
    <w:rsid w:val="00A729C7"/>
    <w:rsid w:val="00A72B9B"/>
    <w:rsid w:val="00A73923"/>
    <w:rsid w:val="00A75EAB"/>
    <w:rsid w:val="00A76935"/>
    <w:rsid w:val="00A77292"/>
    <w:rsid w:val="00A807DB"/>
    <w:rsid w:val="00A80F97"/>
    <w:rsid w:val="00A810F5"/>
    <w:rsid w:val="00A81330"/>
    <w:rsid w:val="00A831F9"/>
    <w:rsid w:val="00A8379F"/>
    <w:rsid w:val="00A839DD"/>
    <w:rsid w:val="00A8563C"/>
    <w:rsid w:val="00A85F8C"/>
    <w:rsid w:val="00A906CF"/>
    <w:rsid w:val="00A90EFE"/>
    <w:rsid w:val="00A91B15"/>
    <w:rsid w:val="00A92033"/>
    <w:rsid w:val="00A92572"/>
    <w:rsid w:val="00A96755"/>
    <w:rsid w:val="00A96A20"/>
    <w:rsid w:val="00A96C51"/>
    <w:rsid w:val="00A97156"/>
    <w:rsid w:val="00A975F3"/>
    <w:rsid w:val="00A977C8"/>
    <w:rsid w:val="00A97B2E"/>
    <w:rsid w:val="00AA037C"/>
    <w:rsid w:val="00AA08E8"/>
    <w:rsid w:val="00AA095A"/>
    <w:rsid w:val="00AA2895"/>
    <w:rsid w:val="00AA2C24"/>
    <w:rsid w:val="00AA2E59"/>
    <w:rsid w:val="00AA51FD"/>
    <w:rsid w:val="00AB0AFD"/>
    <w:rsid w:val="00AB0F10"/>
    <w:rsid w:val="00AB23E5"/>
    <w:rsid w:val="00AB5CB4"/>
    <w:rsid w:val="00AB6400"/>
    <w:rsid w:val="00AC0777"/>
    <w:rsid w:val="00AC086B"/>
    <w:rsid w:val="00AC1D9F"/>
    <w:rsid w:val="00AC1E2A"/>
    <w:rsid w:val="00AC34C7"/>
    <w:rsid w:val="00AC4066"/>
    <w:rsid w:val="00AC4C75"/>
    <w:rsid w:val="00AC4E3D"/>
    <w:rsid w:val="00AC4F58"/>
    <w:rsid w:val="00AC5DBE"/>
    <w:rsid w:val="00AC6247"/>
    <w:rsid w:val="00AC630A"/>
    <w:rsid w:val="00AC6F05"/>
    <w:rsid w:val="00AC740B"/>
    <w:rsid w:val="00AC785C"/>
    <w:rsid w:val="00AC7A76"/>
    <w:rsid w:val="00AD01EC"/>
    <w:rsid w:val="00AD143E"/>
    <w:rsid w:val="00AD23D1"/>
    <w:rsid w:val="00AD3C2C"/>
    <w:rsid w:val="00AD460F"/>
    <w:rsid w:val="00AD4BB0"/>
    <w:rsid w:val="00AD5235"/>
    <w:rsid w:val="00AD61D7"/>
    <w:rsid w:val="00AD6CE7"/>
    <w:rsid w:val="00AD7D49"/>
    <w:rsid w:val="00AE0692"/>
    <w:rsid w:val="00AE1014"/>
    <w:rsid w:val="00AE11BA"/>
    <w:rsid w:val="00AE1904"/>
    <w:rsid w:val="00AE1EFA"/>
    <w:rsid w:val="00AE2FFB"/>
    <w:rsid w:val="00AE35F8"/>
    <w:rsid w:val="00AE403B"/>
    <w:rsid w:val="00AE44C4"/>
    <w:rsid w:val="00AE473F"/>
    <w:rsid w:val="00AE5767"/>
    <w:rsid w:val="00AE6861"/>
    <w:rsid w:val="00AE6B0D"/>
    <w:rsid w:val="00AE716B"/>
    <w:rsid w:val="00AE72C8"/>
    <w:rsid w:val="00AE742C"/>
    <w:rsid w:val="00AE7490"/>
    <w:rsid w:val="00AF1614"/>
    <w:rsid w:val="00AF1A13"/>
    <w:rsid w:val="00AF22DC"/>
    <w:rsid w:val="00AF26E2"/>
    <w:rsid w:val="00AF3067"/>
    <w:rsid w:val="00AF6BF8"/>
    <w:rsid w:val="00AF7E77"/>
    <w:rsid w:val="00AF7EA5"/>
    <w:rsid w:val="00B0027C"/>
    <w:rsid w:val="00B0050E"/>
    <w:rsid w:val="00B015AA"/>
    <w:rsid w:val="00B0239C"/>
    <w:rsid w:val="00B02530"/>
    <w:rsid w:val="00B0435E"/>
    <w:rsid w:val="00B044D6"/>
    <w:rsid w:val="00B046D9"/>
    <w:rsid w:val="00B05FCE"/>
    <w:rsid w:val="00B06341"/>
    <w:rsid w:val="00B07C3D"/>
    <w:rsid w:val="00B101AB"/>
    <w:rsid w:val="00B108AC"/>
    <w:rsid w:val="00B10A0D"/>
    <w:rsid w:val="00B11C6C"/>
    <w:rsid w:val="00B11F3D"/>
    <w:rsid w:val="00B125C0"/>
    <w:rsid w:val="00B1324D"/>
    <w:rsid w:val="00B1351A"/>
    <w:rsid w:val="00B1527B"/>
    <w:rsid w:val="00B1562E"/>
    <w:rsid w:val="00B1567D"/>
    <w:rsid w:val="00B20224"/>
    <w:rsid w:val="00B22898"/>
    <w:rsid w:val="00B2311A"/>
    <w:rsid w:val="00B2428C"/>
    <w:rsid w:val="00B27475"/>
    <w:rsid w:val="00B300F7"/>
    <w:rsid w:val="00B303BB"/>
    <w:rsid w:val="00B310C5"/>
    <w:rsid w:val="00B327E3"/>
    <w:rsid w:val="00B32AFC"/>
    <w:rsid w:val="00B334C2"/>
    <w:rsid w:val="00B33B26"/>
    <w:rsid w:val="00B34BCA"/>
    <w:rsid w:val="00B356BF"/>
    <w:rsid w:val="00B3656D"/>
    <w:rsid w:val="00B3701F"/>
    <w:rsid w:val="00B3721C"/>
    <w:rsid w:val="00B37F48"/>
    <w:rsid w:val="00B418E9"/>
    <w:rsid w:val="00B42C73"/>
    <w:rsid w:val="00B42E2C"/>
    <w:rsid w:val="00B4337B"/>
    <w:rsid w:val="00B44D8F"/>
    <w:rsid w:val="00B44E58"/>
    <w:rsid w:val="00B47BEF"/>
    <w:rsid w:val="00B50B0E"/>
    <w:rsid w:val="00B50E66"/>
    <w:rsid w:val="00B50F79"/>
    <w:rsid w:val="00B5179A"/>
    <w:rsid w:val="00B52ADC"/>
    <w:rsid w:val="00B53A91"/>
    <w:rsid w:val="00B54262"/>
    <w:rsid w:val="00B54B3B"/>
    <w:rsid w:val="00B54B82"/>
    <w:rsid w:val="00B55AEB"/>
    <w:rsid w:val="00B5622A"/>
    <w:rsid w:val="00B5660D"/>
    <w:rsid w:val="00B572BC"/>
    <w:rsid w:val="00B60624"/>
    <w:rsid w:val="00B60E31"/>
    <w:rsid w:val="00B610FB"/>
    <w:rsid w:val="00B63748"/>
    <w:rsid w:val="00B6400F"/>
    <w:rsid w:val="00B64500"/>
    <w:rsid w:val="00B655B3"/>
    <w:rsid w:val="00B65896"/>
    <w:rsid w:val="00B665C5"/>
    <w:rsid w:val="00B6715B"/>
    <w:rsid w:val="00B678E0"/>
    <w:rsid w:val="00B70080"/>
    <w:rsid w:val="00B71B98"/>
    <w:rsid w:val="00B71E1D"/>
    <w:rsid w:val="00B72AED"/>
    <w:rsid w:val="00B73AD9"/>
    <w:rsid w:val="00B746BC"/>
    <w:rsid w:val="00B74AE2"/>
    <w:rsid w:val="00B74CC7"/>
    <w:rsid w:val="00B74F8D"/>
    <w:rsid w:val="00B758A9"/>
    <w:rsid w:val="00B75BB6"/>
    <w:rsid w:val="00B76B71"/>
    <w:rsid w:val="00B76C2D"/>
    <w:rsid w:val="00B77031"/>
    <w:rsid w:val="00B77693"/>
    <w:rsid w:val="00B77810"/>
    <w:rsid w:val="00B77A96"/>
    <w:rsid w:val="00B77AED"/>
    <w:rsid w:val="00B8001A"/>
    <w:rsid w:val="00B8392E"/>
    <w:rsid w:val="00B83BE7"/>
    <w:rsid w:val="00B84ECF"/>
    <w:rsid w:val="00B85A6A"/>
    <w:rsid w:val="00B85D9A"/>
    <w:rsid w:val="00B86377"/>
    <w:rsid w:val="00B866F8"/>
    <w:rsid w:val="00B87069"/>
    <w:rsid w:val="00B905FA"/>
    <w:rsid w:val="00B90A5B"/>
    <w:rsid w:val="00B92DE6"/>
    <w:rsid w:val="00B937EB"/>
    <w:rsid w:val="00B9446F"/>
    <w:rsid w:val="00B95AE3"/>
    <w:rsid w:val="00B9620F"/>
    <w:rsid w:val="00B9644B"/>
    <w:rsid w:val="00B966D6"/>
    <w:rsid w:val="00B971F8"/>
    <w:rsid w:val="00B97EED"/>
    <w:rsid w:val="00BA02CC"/>
    <w:rsid w:val="00BA0617"/>
    <w:rsid w:val="00BA1506"/>
    <w:rsid w:val="00BA24C1"/>
    <w:rsid w:val="00BA31DB"/>
    <w:rsid w:val="00BA34A4"/>
    <w:rsid w:val="00BA3D79"/>
    <w:rsid w:val="00BA5826"/>
    <w:rsid w:val="00BA5C8E"/>
    <w:rsid w:val="00BA618A"/>
    <w:rsid w:val="00BA6A17"/>
    <w:rsid w:val="00BA719C"/>
    <w:rsid w:val="00BA7308"/>
    <w:rsid w:val="00BA73C9"/>
    <w:rsid w:val="00BA74FE"/>
    <w:rsid w:val="00BB0D73"/>
    <w:rsid w:val="00BB0E36"/>
    <w:rsid w:val="00BB1066"/>
    <w:rsid w:val="00BB1BD6"/>
    <w:rsid w:val="00BB20E0"/>
    <w:rsid w:val="00BB3A8F"/>
    <w:rsid w:val="00BB4230"/>
    <w:rsid w:val="00BB4320"/>
    <w:rsid w:val="00BB7548"/>
    <w:rsid w:val="00BB7914"/>
    <w:rsid w:val="00BB7DF5"/>
    <w:rsid w:val="00BC0172"/>
    <w:rsid w:val="00BC170A"/>
    <w:rsid w:val="00BC26EB"/>
    <w:rsid w:val="00BC315E"/>
    <w:rsid w:val="00BC32B6"/>
    <w:rsid w:val="00BC3401"/>
    <w:rsid w:val="00BC4651"/>
    <w:rsid w:val="00BC490A"/>
    <w:rsid w:val="00BC4FE0"/>
    <w:rsid w:val="00BC549E"/>
    <w:rsid w:val="00BC54A0"/>
    <w:rsid w:val="00BC5E1D"/>
    <w:rsid w:val="00BC7EAD"/>
    <w:rsid w:val="00BD0DE1"/>
    <w:rsid w:val="00BD0F9A"/>
    <w:rsid w:val="00BD13DA"/>
    <w:rsid w:val="00BD1510"/>
    <w:rsid w:val="00BD1EF3"/>
    <w:rsid w:val="00BD3F24"/>
    <w:rsid w:val="00BD40A8"/>
    <w:rsid w:val="00BD41F7"/>
    <w:rsid w:val="00BD5557"/>
    <w:rsid w:val="00BD748B"/>
    <w:rsid w:val="00BD7799"/>
    <w:rsid w:val="00BE00A0"/>
    <w:rsid w:val="00BE012D"/>
    <w:rsid w:val="00BE0D2A"/>
    <w:rsid w:val="00BE3A58"/>
    <w:rsid w:val="00BE516D"/>
    <w:rsid w:val="00BE51BF"/>
    <w:rsid w:val="00BE59CB"/>
    <w:rsid w:val="00BF22E5"/>
    <w:rsid w:val="00BF24F2"/>
    <w:rsid w:val="00BF3748"/>
    <w:rsid w:val="00BF39DB"/>
    <w:rsid w:val="00BF4339"/>
    <w:rsid w:val="00BF4402"/>
    <w:rsid w:val="00BF6298"/>
    <w:rsid w:val="00BF75CA"/>
    <w:rsid w:val="00C004C0"/>
    <w:rsid w:val="00C011A0"/>
    <w:rsid w:val="00C01C7C"/>
    <w:rsid w:val="00C02DAF"/>
    <w:rsid w:val="00C036F9"/>
    <w:rsid w:val="00C03C31"/>
    <w:rsid w:val="00C04735"/>
    <w:rsid w:val="00C0478F"/>
    <w:rsid w:val="00C05DF9"/>
    <w:rsid w:val="00C064C7"/>
    <w:rsid w:val="00C0675C"/>
    <w:rsid w:val="00C06828"/>
    <w:rsid w:val="00C076EF"/>
    <w:rsid w:val="00C106BF"/>
    <w:rsid w:val="00C117B5"/>
    <w:rsid w:val="00C11C93"/>
    <w:rsid w:val="00C12495"/>
    <w:rsid w:val="00C1431F"/>
    <w:rsid w:val="00C14431"/>
    <w:rsid w:val="00C16761"/>
    <w:rsid w:val="00C17AA9"/>
    <w:rsid w:val="00C23238"/>
    <w:rsid w:val="00C23716"/>
    <w:rsid w:val="00C246AA"/>
    <w:rsid w:val="00C2569D"/>
    <w:rsid w:val="00C25FD2"/>
    <w:rsid w:val="00C26584"/>
    <w:rsid w:val="00C26C2B"/>
    <w:rsid w:val="00C2721C"/>
    <w:rsid w:val="00C273BA"/>
    <w:rsid w:val="00C31B95"/>
    <w:rsid w:val="00C32E25"/>
    <w:rsid w:val="00C33599"/>
    <w:rsid w:val="00C344AD"/>
    <w:rsid w:val="00C3487F"/>
    <w:rsid w:val="00C34C76"/>
    <w:rsid w:val="00C37099"/>
    <w:rsid w:val="00C40E02"/>
    <w:rsid w:val="00C40F48"/>
    <w:rsid w:val="00C44014"/>
    <w:rsid w:val="00C44234"/>
    <w:rsid w:val="00C45420"/>
    <w:rsid w:val="00C47874"/>
    <w:rsid w:val="00C5006B"/>
    <w:rsid w:val="00C50A86"/>
    <w:rsid w:val="00C50F98"/>
    <w:rsid w:val="00C51513"/>
    <w:rsid w:val="00C51B41"/>
    <w:rsid w:val="00C51E7B"/>
    <w:rsid w:val="00C5320F"/>
    <w:rsid w:val="00C537CC"/>
    <w:rsid w:val="00C53E42"/>
    <w:rsid w:val="00C547BA"/>
    <w:rsid w:val="00C54E9C"/>
    <w:rsid w:val="00C56839"/>
    <w:rsid w:val="00C568CE"/>
    <w:rsid w:val="00C56A9B"/>
    <w:rsid w:val="00C57332"/>
    <w:rsid w:val="00C57D83"/>
    <w:rsid w:val="00C61ED8"/>
    <w:rsid w:val="00C644F5"/>
    <w:rsid w:val="00C64CB9"/>
    <w:rsid w:val="00C65126"/>
    <w:rsid w:val="00C65558"/>
    <w:rsid w:val="00C6590A"/>
    <w:rsid w:val="00C66AAD"/>
    <w:rsid w:val="00C730AE"/>
    <w:rsid w:val="00C7334E"/>
    <w:rsid w:val="00C73447"/>
    <w:rsid w:val="00C73DB1"/>
    <w:rsid w:val="00C741E9"/>
    <w:rsid w:val="00C74825"/>
    <w:rsid w:val="00C74CBC"/>
    <w:rsid w:val="00C76FAA"/>
    <w:rsid w:val="00C8163F"/>
    <w:rsid w:val="00C8180A"/>
    <w:rsid w:val="00C81A10"/>
    <w:rsid w:val="00C83671"/>
    <w:rsid w:val="00C84D87"/>
    <w:rsid w:val="00C851A9"/>
    <w:rsid w:val="00C852F9"/>
    <w:rsid w:val="00C875A6"/>
    <w:rsid w:val="00C87CDB"/>
    <w:rsid w:val="00C90CDD"/>
    <w:rsid w:val="00C93274"/>
    <w:rsid w:val="00C937D2"/>
    <w:rsid w:val="00C96571"/>
    <w:rsid w:val="00C96D2E"/>
    <w:rsid w:val="00C973FB"/>
    <w:rsid w:val="00C9745F"/>
    <w:rsid w:val="00C97BF4"/>
    <w:rsid w:val="00CA14B9"/>
    <w:rsid w:val="00CA3135"/>
    <w:rsid w:val="00CA4287"/>
    <w:rsid w:val="00CA42AC"/>
    <w:rsid w:val="00CA4A14"/>
    <w:rsid w:val="00CA52A1"/>
    <w:rsid w:val="00CA5739"/>
    <w:rsid w:val="00CA6A72"/>
    <w:rsid w:val="00CA6D31"/>
    <w:rsid w:val="00CA75BE"/>
    <w:rsid w:val="00CB01F4"/>
    <w:rsid w:val="00CB05F4"/>
    <w:rsid w:val="00CB0F37"/>
    <w:rsid w:val="00CB1653"/>
    <w:rsid w:val="00CB1C83"/>
    <w:rsid w:val="00CB2118"/>
    <w:rsid w:val="00CB23FA"/>
    <w:rsid w:val="00CB3FDC"/>
    <w:rsid w:val="00CB44EE"/>
    <w:rsid w:val="00CB5AF8"/>
    <w:rsid w:val="00CB5C00"/>
    <w:rsid w:val="00CB5EED"/>
    <w:rsid w:val="00CB6227"/>
    <w:rsid w:val="00CB7423"/>
    <w:rsid w:val="00CB7B28"/>
    <w:rsid w:val="00CC18E6"/>
    <w:rsid w:val="00CC35D1"/>
    <w:rsid w:val="00CC3D33"/>
    <w:rsid w:val="00CC429B"/>
    <w:rsid w:val="00CC504C"/>
    <w:rsid w:val="00CC50AD"/>
    <w:rsid w:val="00CC5345"/>
    <w:rsid w:val="00CC5589"/>
    <w:rsid w:val="00CC7C38"/>
    <w:rsid w:val="00CC7D8C"/>
    <w:rsid w:val="00CD01BA"/>
    <w:rsid w:val="00CD15AC"/>
    <w:rsid w:val="00CD168E"/>
    <w:rsid w:val="00CD186A"/>
    <w:rsid w:val="00CD1891"/>
    <w:rsid w:val="00CD312D"/>
    <w:rsid w:val="00CD3337"/>
    <w:rsid w:val="00CD343C"/>
    <w:rsid w:val="00CD3F15"/>
    <w:rsid w:val="00CD521A"/>
    <w:rsid w:val="00CD6756"/>
    <w:rsid w:val="00CD6803"/>
    <w:rsid w:val="00CD70E7"/>
    <w:rsid w:val="00CE098C"/>
    <w:rsid w:val="00CE0DD1"/>
    <w:rsid w:val="00CE10FD"/>
    <w:rsid w:val="00CE2098"/>
    <w:rsid w:val="00CE355A"/>
    <w:rsid w:val="00CE3E77"/>
    <w:rsid w:val="00CE4B1B"/>
    <w:rsid w:val="00CE4D39"/>
    <w:rsid w:val="00CE5DAC"/>
    <w:rsid w:val="00CE7932"/>
    <w:rsid w:val="00CF1ADB"/>
    <w:rsid w:val="00CF29CE"/>
    <w:rsid w:val="00CF2A16"/>
    <w:rsid w:val="00CF3A03"/>
    <w:rsid w:val="00CF3A95"/>
    <w:rsid w:val="00CF543D"/>
    <w:rsid w:val="00CF553A"/>
    <w:rsid w:val="00CF5D27"/>
    <w:rsid w:val="00CF64A2"/>
    <w:rsid w:val="00CF6835"/>
    <w:rsid w:val="00CF6893"/>
    <w:rsid w:val="00CF6DF3"/>
    <w:rsid w:val="00D004C3"/>
    <w:rsid w:val="00D01466"/>
    <w:rsid w:val="00D01F31"/>
    <w:rsid w:val="00D021D8"/>
    <w:rsid w:val="00D03132"/>
    <w:rsid w:val="00D03FBB"/>
    <w:rsid w:val="00D04777"/>
    <w:rsid w:val="00D056ED"/>
    <w:rsid w:val="00D05D29"/>
    <w:rsid w:val="00D060AF"/>
    <w:rsid w:val="00D06E05"/>
    <w:rsid w:val="00D07691"/>
    <w:rsid w:val="00D10A61"/>
    <w:rsid w:val="00D11313"/>
    <w:rsid w:val="00D11BC7"/>
    <w:rsid w:val="00D11E50"/>
    <w:rsid w:val="00D121C6"/>
    <w:rsid w:val="00D1229F"/>
    <w:rsid w:val="00D12777"/>
    <w:rsid w:val="00D12B0E"/>
    <w:rsid w:val="00D14520"/>
    <w:rsid w:val="00D14791"/>
    <w:rsid w:val="00D1760C"/>
    <w:rsid w:val="00D179BB"/>
    <w:rsid w:val="00D21121"/>
    <w:rsid w:val="00D212DE"/>
    <w:rsid w:val="00D21A79"/>
    <w:rsid w:val="00D21F14"/>
    <w:rsid w:val="00D22442"/>
    <w:rsid w:val="00D22511"/>
    <w:rsid w:val="00D241CE"/>
    <w:rsid w:val="00D2439D"/>
    <w:rsid w:val="00D24C07"/>
    <w:rsid w:val="00D24D5D"/>
    <w:rsid w:val="00D26730"/>
    <w:rsid w:val="00D27A6F"/>
    <w:rsid w:val="00D27AF4"/>
    <w:rsid w:val="00D27EA3"/>
    <w:rsid w:val="00D301BF"/>
    <w:rsid w:val="00D30ABC"/>
    <w:rsid w:val="00D30BA4"/>
    <w:rsid w:val="00D31AAF"/>
    <w:rsid w:val="00D32056"/>
    <w:rsid w:val="00D32835"/>
    <w:rsid w:val="00D333A2"/>
    <w:rsid w:val="00D33578"/>
    <w:rsid w:val="00D344FA"/>
    <w:rsid w:val="00D34F29"/>
    <w:rsid w:val="00D35D57"/>
    <w:rsid w:val="00D36595"/>
    <w:rsid w:val="00D36D3F"/>
    <w:rsid w:val="00D37231"/>
    <w:rsid w:val="00D40EF2"/>
    <w:rsid w:val="00D419B5"/>
    <w:rsid w:val="00D41AAE"/>
    <w:rsid w:val="00D4306E"/>
    <w:rsid w:val="00D43367"/>
    <w:rsid w:val="00D43DD5"/>
    <w:rsid w:val="00D44A96"/>
    <w:rsid w:val="00D44B12"/>
    <w:rsid w:val="00D469A2"/>
    <w:rsid w:val="00D50244"/>
    <w:rsid w:val="00D50259"/>
    <w:rsid w:val="00D51645"/>
    <w:rsid w:val="00D537E6"/>
    <w:rsid w:val="00D53E79"/>
    <w:rsid w:val="00D54249"/>
    <w:rsid w:val="00D546FF"/>
    <w:rsid w:val="00D5484C"/>
    <w:rsid w:val="00D55B60"/>
    <w:rsid w:val="00D55E74"/>
    <w:rsid w:val="00D56BAC"/>
    <w:rsid w:val="00D56C42"/>
    <w:rsid w:val="00D5721E"/>
    <w:rsid w:val="00D57388"/>
    <w:rsid w:val="00D578EC"/>
    <w:rsid w:val="00D57D48"/>
    <w:rsid w:val="00D57E10"/>
    <w:rsid w:val="00D60B71"/>
    <w:rsid w:val="00D61BCD"/>
    <w:rsid w:val="00D622AE"/>
    <w:rsid w:val="00D63224"/>
    <w:rsid w:val="00D63E75"/>
    <w:rsid w:val="00D657B7"/>
    <w:rsid w:val="00D67513"/>
    <w:rsid w:val="00D675A9"/>
    <w:rsid w:val="00D709A6"/>
    <w:rsid w:val="00D71E74"/>
    <w:rsid w:val="00D72251"/>
    <w:rsid w:val="00D7262A"/>
    <w:rsid w:val="00D749E2"/>
    <w:rsid w:val="00D753AB"/>
    <w:rsid w:val="00D76067"/>
    <w:rsid w:val="00D76A55"/>
    <w:rsid w:val="00D77642"/>
    <w:rsid w:val="00D776E1"/>
    <w:rsid w:val="00D779C8"/>
    <w:rsid w:val="00D77A13"/>
    <w:rsid w:val="00D8068F"/>
    <w:rsid w:val="00D8098A"/>
    <w:rsid w:val="00D824A4"/>
    <w:rsid w:val="00D840F8"/>
    <w:rsid w:val="00D8414B"/>
    <w:rsid w:val="00D84317"/>
    <w:rsid w:val="00D85256"/>
    <w:rsid w:val="00D85A95"/>
    <w:rsid w:val="00D870F4"/>
    <w:rsid w:val="00D87761"/>
    <w:rsid w:val="00D87ECF"/>
    <w:rsid w:val="00D91407"/>
    <w:rsid w:val="00D91FAF"/>
    <w:rsid w:val="00D922C1"/>
    <w:rsid w:val="00D92B93"/>
    <w:rsid w:val="00D93263"/>
    <w:rsid w:val="00D938B7"/>
    <w:rsid w:val="00D944EF"/>
    <w:rsid w:val="00D946FF"/>
    <w:rsid w:val="00D94F98"/>
    <w:rsid w:val="00D956F0"/>
    <w:rsid w:val="00D95E37"/>
    <w:rsid w:val="00D9667D"/>
    <w:rsid w:val="00D96E88"/>
    <w:rsid w:val="00DA0F93"/>
    <w:rsid w:val="00DA110E"/>
    <w:rsid w:val="00DA12FF"/>
    <w:rsid w:val="00DA17D7"/>
    <w:rsid w:val="00DA2768"/>
    <w:rsid w:val="00DA34DD"/>
    <w:rsid w:val="00DA4054"/>
    <w:rsid w:val="00DA518E"/>
    <w:rsid w:val="00DA5240"/>
    <w:rsid w:val="00DA53DE"/>
    <w:rsid w:val="00DA5BFF"/>
    <w:rsid w:val="00DA5DFD"/>
    <w:rsid w:val="00DA6783"/>
    <w:rsid w:val="00DA70E1"/>
    <w:rsid w:val="00DA75BF"/>
    <w:rsid w:val="00DA7713"/>
    <w:rsid w:val="00DA795B"/>
    <w:rsid w:val="00DB17B4"/>
    <w:rsid w:val="00DB1B99"/>
    <w:rsid w:val="00DB1E1E"/>
    <w:rsid w:val="00DB2667"/>
    <w:rsid w:val="00DB28DF"/>
    <w:rsid w:val="00DB36D5"/>
    <w:rsid w:val="00DB3A36"/>
    <w:rsid w:val="00DB4C7F"/>
    <w:rsid w:val="00DB4E24"/>
    <w:rsid w:val="00DB571F"/>
    <w:rsid w:val="00DB5851"/>
    <w:rsid w:val="00DB7A73"/>
    <w:rsid w:val="00DC03EA"/>
    <w:rsid w:val="00DC06FC"/>
    <w:rsid w:val="00DC0E29"/>
    <w:rsid w:val="00DC113E"/>
    <w:rsid w:val="00DC14A6"/>
    <w:rsid w:val="00DC17CD"/>
    <w:rsid w:val="00DC181D"/>
    <w:rsid w:val="00DC1DC6"/>
    <w:rsid w:val="00DC27D4"/>
    <w:rsid w:val="00DC2A2E"/>
    <w:rsid w:val="00DC467D"/>
    <w:rsid w:val="00DC4925"/>
    <w:rsid w:val="00DC68D0"/>
    <w:rsid w:val="00DC6935"/>
    <w:rsid w:val="00DD092F"/>
    <w:rsid w:val="00DD0959"/>
    <w:rsid w:val="00DD09CF"/>
    <w:rsid w:val="00DD0BC5"/>
    <w:rsid w:val="00DD163C"/>
    <w:rsid w:val="00DD1AE0"/>
    <w:rsid w:val="00DD2E20"/>
    <w:rsid w:val="00DD2E70"/>
    <w:rsid w:val="00DD30AE"/>
    <w:rsid w:val="00DD32DA"/>
    <w:rsid w:val="00DD3467"/>
    <w:rsid w:val="00DD3ABC"/>
    <w:rsid w:val="00DD5155"/>
    <w:rsid w:val="00DD5189"/>
    <w:rsid w:val="00DD5A7A"/>
    <w:rsid w:val="00DD5B0A"/>
    <w:rsid w:val="00DD6E2B"/>
    <w:rsid w:val="00DD7BC7"/>
    <w:rsid w:val="00DD7E13"/>
    <w:rsid w:val="00DE0CBE"/>
    <w:rsid w:val="00DE11CA"/>
    <w:rsid w:val="00DE19C4"/>
    <w:rsid w:val="00DE2A39"/>
    <w:rsid w:val="00DE3ECE"/>
    <w:rsid w:val="00DE4A09"/>
    <w:rsid w:val="00DE4EDF"/>
    <w:rsid w:val="00DE5170"/>
    <w:rsid w:val="00DE53CD"/>
    <w:rsid w:val="00DE57C6"/>
    <w:rsid w:val="00DE5FC1"/>
    <w:rsid w:val="00DE6294"/>
    <w:rsid w:val="00DE6601"/>
    <w:rsid w:val="00DE68D6"/>
    <w:rsid w:val="00DE6B5B"/>
    <w:rsid w:val="00DE6CA8"/>
    <w:rsid w:val="00DE6EC1"/>
    <w:rsid w:val="00DE71EF"/>
    <w:rsid w:val="00DE781D"/>
    <w:rsid w:val="00DE78D2"/>
    <w:rsid w:val="00DE7B85"/>
    <w:rsid w:val="00DE7BE9"/>
    <w:rsid w:val="00DF0976"/>
    <w:rsid w:val="00DF10F9"/>
    <w:rsid w:val="00DF1320"/>
    <w:rsid w:val="00DF1DCE"/>
    <w:rsid w:val="00DF3B05"/>
    <w:rsid w:val="00DF4992"/>
    <w:rsid w:val="00DF4ECF"/>
    <w:rsid w:val="00DF5789"/>
    <w:rsid w:val="00DF5861"/>
    <w:rsid w:val="00DF6A08"/>
    <w:rsid w:val="00E00028"/>
    <w:rsid w:val="00E00663"/>
    <w:rsid w:val="00E00F17"/>
    <w:rsid w:val="00E014CE"/>
    <w:rsid w:val="00E01C2F"/>
    <w:rsid w:val="00E022EA"/>
    <w:rsid w:val="00E02908"/>
    <w:rsid w:val="00E0296D"/>
    <w:rsid w:val="00E04DF5"/>
    <w:rsid w:val="00E0500E"/>
    <w:rsid w:val="00E06664"/>
    <w:rsid w:val="00E0673E"/>
    <w:rsid w:val="00E06916"/>
    <w:rsid w:val="00E073CB"/>
    <w:rsid w:val="00E07DA0"/>
    <w:rsid w:val="00E07EEF"/>
    <w:rsid w:val="00E07F9D"/>
    <w:rsid w:val="00E12D64"/>
    <w:rsid w:val="00E13164"/>
    <w:rsid w:val="00E15424"/>
    <w:rsid w:val="00E2016F"/>
    <w:rsid w:val="00E20606"/>
    <w:rsid w:val="00E20E32"/>
    <w:rsid w:val="00E21941"/>
    <w:rsid w:val="00E2199F"/>
    <w:rsid w:val="00E21BDB"/>
    <w:rsid w:val="00E2299D"/>
    <w:rsid w:val="00E229CF"/>
    <w:rsid w:val="00E232D4"/>
    <w:rsid w:val="00E23867"/>
    <w:rsid w:val="00E23A7D"/>
    <w:rsid w:val="00E23F99"/>
    <w:rsid w:val="00E24070"/>
    <w:rsid w:val="00E25D1F"/>
    <w:rsid w:val="00E260DB"/>
    <w:rsid w:val="00E270AF"/>
    <w:rsid w:val="00E3085C"/>
    <w:rsid w:val="00E30D95"/>
    <w:rsid w:val="00E31EFB"/>
    <w:rsid w:val="00E33D00"/>
    <w:rsid w:val="00E34257"/>
    <w:rsid w:val="00E34EF3"/>
    <w:rsid w:val="00E36352"/>
    <w:rsid w:val="00E370FB"/>
    <w:rsid w:val="00E408AA"/>
    <w:rsid w:val="00E40F80"/>
    <w:rsid w:val="00E42273"/>
    <w:rsid w:val="00E42BB7"/>
    <w:rsid w:val="00E447D9"/>
    <w:rsid w:val="00E45A83"/>
    <w:rsid w:val="00E50027"/>
    <w:rsid w:val="00E50161"/>
    <w:rsid w:val="00E510FE"/>
    <w:rsid w:val="00E514A5"/>
    <w:rsid w:val="00E51623"/>
    <w:rsid w:val="00E51956"/>
    <w:rsid w:val="00E51A29"/>
    <w:rsid w:val="00E52682"/>
    <w:rsid w:val="00E52C2C"/>
    <w:rsid w:val="00E52F02"/>
    <w:rsid w:val="00E53558"/>
    <w:rsid w:val="00E53D06"/>
    <w:rsid w:val="00E54997"/>
    <w:rsid w:val="00E549A6"/>
    <w:rsid w:val="00E55143"/>
    <w:rsid w:val="00E55AF3"/>
    <w:rsid w:val="00E567CD"/>
    <w:rsid w:val="00E6055A"/>
    <w:rsid w:val="00E606D8"/>
    <w:rsid w:val="00E617AE"/>
    <w:rsid w:val="00E61D75"/>
    <w:rsid w:val="00E624B9"/>
    <w:rsid w:val="00E649B6"/>
    <w:rsid w:val="00E651A6"/>
    <w:rsid w:val="00E65387"/>
    <w:rsid w:val="00E65C14"/>
    <w:rsid w:val="00E6646D"/>
    <w:rsid w:val="00E67665"/>
    <w:rsid w:val="00E713E1"/>
    <w:rsid w:val="00E71C13"/>
    <w:rsid w:val="00E72675"/>
    <w:rsid w:val="00E72863"/>
    <w:rsid w:val="00E736BF"/>
    <w:rsid w:val="00E74259"/>
    <w:rsid w:val="00E7538B"/>
    <w:rsid w:val="00E75EEF"/>
    <w:rsid w:val="00E800E4"/>
    <w:rsid w:val="00E80814"/>
    <w:rsid w:val="00E812AE"/>
    <w:rsid w:val="00E818D6"/>
    <w:rsid w:val="00E81C8B"/>
    <w:rsid w:val="00E8219A"/>
    <w:rsid w:val="00E84510"/>
    <w:rsid w:val="00E84E14"/>
    <w:rsid w:val="00E86902"/>
    <w:rsid w:val="00E8704F"/>
    <w:rsid w:val="00E87356"/>
    <w:rsid w:val="00E908E1"/>
    <w:rsid w:val="00E90D0A"/>
    <w:rsid w:val="00E9124C"/>
    <w:rsid w:val="00E93836"/>
    <w:rsid w:val="00E94841"/>
    <w:rsid w:val="00E9536A"/>
    <w:rsid w:val="00E9548B"/>
    <w:rsid w:val="00E96E19"/>
    <w:rsid w:val="00EA0404"/>
    <w:rsid w:val="00EA2F6C"/>
    <w:rsid w:val="00EA42EE"/>
    <w:rsid w:val="00EA500C"/>
    <w:rsid w:val="00EA5069"/>
    <w:rsid w:val="00EA581E"/>
    <w:rsid w:val="00EA642A"/>
    <w:rsid w:val="00EA7799"/>
    <w:rsid w:val="00EB00FC"/>
    <w:rsid w:val="00EB07D2"/>
    <w:rsid w:val="00EB11D0"/>
    <w:rsid w:val="00EB2868"/>
    <w:rsid w:val="00EB54CF"/>
    <w:rsid w:val="00EB5CA1"/>
    <w:rsid w:val="00EB65E4"/>
    <w:rsid w:val="00EB6B48"/>
    <w:rsid w:val="00EC0CAF"/>
    <w:rsid w:val="00EC236F"/>
    <w:rsid w:val="00EC3044"/>
    <w:rsid w:val="00EC3522"/>
    <w:rsid w:val="00EC3914"/>
    <w:rsid w:val="00EC3FF1"/>
    <w:rsid w:val="00EC476D"/>
    <w:rsid w:val="00EC4BA8"/>
    <w:rsid w:val="00EC5478"/>
    <w:rsid w:val="00EC6898"/>
    <w:rsid w:val="00EC74C6"/>
    <w:rsid w:val="00ED1061"/>
    <w:rsid w:val="00ED1590"/>
    <w:rsid w:val="00ED1CB9"/>
    <w:rsid w:val="00ED203B"/>
    <w:rsid w:val="00ED2244"/>
    <w:rsid w:val="00ED33CD"/>
    <w:rsid w:val="00ED3A1C"/>
    <w:rsid w:val="00ED3FFA"/>
    <w:rsid w:val="00ED42A9"/>
    <w:rsid w:val="00ED50AE"/>
    <w:rsid w:val="00ED676B"/>
    <w:rsid w:val="00ED72A6"/>
    <w:rsid w:val="00ED7B04"/>
    <w:rsid w:val="00EE0FB3"/>
    <w:rsid w:val="00EE1158"/>
    <w:rsid w:val="00EE2F92"/>
    <w:rsid w:val="00EE42AC"/>
    <w:rsid w:val="00EE44BC"/>
    <w:rsid w:val="00EE59BC"/>
    <w:rsid w:val="00EE6F84"/>
    <w:rsid w:val="00EE7E6A"/>
    <w:rsid w:val="00EF00AD"/>
    <w:rsid w:val="00EF116A"/>
    <w:rsid w:val="00EF1939"/>
    <w:rsid w:val="00EF3D60"/>
    <w:rsid w:val="00EF4D5F"/>
    <w:rsid w:val="00EF59A0"/>
    <w:rsid w:val="00EF72DD"/>
    <w:rsid w:val="00EF7C11"/>
    <w:rsid w:val="00F008E0"/>
    <w:rsid w:val="00F01216"/>
    <w:rsid w:val="00F01778"/>
    <w:rsid w:val="00F019A6"/>
    <w:rsid w:val="00F02906"/>
    <w:rsid w:val="00F05084"/>
    <w:rsid w:val="00F055B4"/>
    <w:rsid w:val="00F055EA"/>
    <w:rsid w:val="00F05994"/>
    <w:rsid w:val="00F103AF"/>
    <w:rsid w:val="00F109A2"/>
    <w:rsid w:val="00F10B4D"/>
    <w:rsid w:val="00F11A07"/>
    <w:rsid w:val="00F11DEF"/>
    <w:rsid w:val="00F1274D"/>
    <w:rsid w:val="00F13036"/>
    <w:rsid w:val="00F1394A"/>
    <w:rsid w:val="00F13B07"/>
    <w:rsid w:val="00F15736"/>
    <w:rsid w:val="00F15B8D"/>
    <w:rsid w:val="00F1610E"/>
    <w:rsid w:val="00F1667C"/>
    <w:rsid w:val="00F17BB4"/>
    <w:rsid w:val="00F20064"/>
    <w:rsid w:val="00F20F82"/>
    <w:rsid w:val="00F22765"/>
    <w:rsid w:val="00F227A3"/>
    <w:rsid w:val="00F22D19"/>
    <w:rsid w:val="00F22E12"/>
    <w:rsid w:val="00F24133"/>
    <w:rsid w:val="00F24294"/>
    <w:rsid w:val="00F250F7"/>
    <w:rsid w:val="00F25676"/>
    <w:rsid w:val="00F25BBB"/>
    <w:rsid w:val="00F266B7"/>
    <w:rsid w:val="00F26DC5"/>
    <w:rsid w:val="00F27561"/>
    <w:rsid w:val="00F27CD1"/>
    <w:rsid w:val="00F304E8"/>
    <w:rsid w:val="00F30695"/>
    <w:rsid w:val="00F32098"/>
    <w:rsid w:val="00F32491"/>
    <w:rsid w:val="00F34987"/>
    <w:rsid w:val="00F35144"/>
    <w:rsid w:val="00F35C4C"/>
    <w:rsid w:val="00F35F4E"/>
    <w:rsid w:val="00F3756D"/>
    <w:rsid w:val="00F4109B"/>
    <w:rsid w:val="00F4129F"/>
    <w:rsid w:val="00F41E6F"/>
    <w:rsid w:val="00F42894"/>
    <w:rsid w:val="00F44276"/>
    <w:rsid w:val="00F444D1"/>
    <w:rsid w:val="00F447E7"/>
    <w:rsid w:val="00F44932"/>
    <w:rsid w:val="00F45602"/>
    <w:rsid w:val="00F46D44"/>
    <w:rsid w:val="00F47840"/>
    <w:rsid w:val="00F51383"/>
    <w:rsid w:val="00F5182C"/>
    <w:rsid w:val="00F51E2F"/>
    <w:rsid w:val="00F5202D"/>
    <w:rsid w:val="00F522F6"/>
    <w:rsid w:val="00F52CDB"/>
    <w:rsid w:val="00F53FAF"/>
    <w:rsid w:val="00F547EC"/>
    <w:rsid w:val="00F54D95"/>
    <w:rsid w:val="00F55773"/>
    <w:rsid w:val="00F5618B"/>
    <w:rsid w:val="00F61330"/>
    <w:rsid w:val="00F614AA"/>
    <w:rsid w:val="00F61ED3"/>
    <w:rsid w:val="00F62C76"/>
    <w:rsid w:val="00F63331"/>
    <w:rsid w:val="00F635EF"/>
    <w:rsid w:val="00F639B3"/>
    <w:rsid w:val="00F63B57"/>
    <w:rsid w:val="00F64239"/>
    <w:rsid w:val="00F64D03"/>
    <w:rsid w:val="00F652B9"/>
    <w:rsid w:val="00F66644"/>
    <w:rsid w:val="00F66A64"/>
    <w:rsid w:val="00F679A9"/>
    <w:rsid w:val="00F67EA7"/>
    <w:rsid w:val="00F70E0B"/>
    <w:rsid w:val="00F71041"/>
    <w:rsid w:val="00F717BD"/>
    <w:rsid w:val="00F71C9B"/>
    <w:rsid w:val="00F71D97"/>
    <w:rsid w:val="00F72346"/>
    <w:rsid w:val="00F74136"/>
    <w:rsid w:val="00F7464C"/>
    <w:rsid w:val="00F810D2"/>
    <w:rsid w:val="00F81640"/>
    <w:rsid w:val="00F81A6A"/>
    <w:rsid w:val="00F822E2"/>
    <w:rsid w:val="00F8367A"/>
    <w:rsid w:val="00F85880"/>
    <w:rsid w:val="00F869AB"/>
    <w:rsid w:val="00F86F1D"/>
    <w:rsid w:val="00F8707D"/>
    <w:rsid w:val="00F8721D"/>
    <w:rsid w:val="00F877EA"/>
    <w:rsid w:val="00F903DD"/>
    <w:rsid w:val="00F90E90"/>
    <w:rsid w:val="00F91CED"/>
    <w:rsid w:val="00F95427"/>
    <w:rsid w:val="00F967CE"/>
    <w:rsid w:val="00F96AAC"/>
    <w:rsid w:val="00F96EB0"/>
    <w:rsid w:val="00F97BF5"/>
    <w:rsid w:val="00FA0ABD"/>
    <w:rsid w:val="00FA297B"/>
    <w:rsid w:val="00FA2F91"/>
    <w:rsid w:val="00FA40F7"/>
    <w:rsid w:val="00FA4F0B"/>
    <w:rsid w:val="00FA550D"/>
    <w:rsid w:val="00FA5FBE"/>
    <w:rsid w:val="00FA61EB"/>
    <w:rsid w:val="00FA656A"/>
    <w:rsid w:val="00FA69DD"/>
    <w:rsid w:val="00FA70D5"/>
    <w:rsid w:val="00FA7D74"/>
    <w:rsid w:val="00FB0868"/>
    <w:rsid w:val="00FB1FF0"/>
    <w:rsid w:val="00FB237E"/>
    <w:rsid w:val="00FB3368"/>
    <w:rsid w:val="00FB4A9D"/>
    <w:rsid w:val="00FB51FE"/>
    <w:rsid w:val="00FC1288"/>
    <w:rsid w:val="00FC1F9A"/>
    <w:rsid w:val="00FC242C"/>
    <w:rsid w:val="00FC2970"/>
    <w:rsid w:val="00FC2A95"/>
    <w:rsid w:val="00FC2E25"/>
    <w:rsid w:val="00FC34F9"/>
    <w:rsid w:val="00FC6938"/>
    <w:rsid w:val="00FD00DD"/>
    <w:rsid w:val="00FD0383"/>
    <w:rsid w:val="00FD0C40"/>
    <w:rsid w:val="00FD197B"/>
    <w:rsid w:val="00FD1BCF"/>
    <w:rsid w:val="00FD21AB"/>
    <w:rsid w:val="00FD3189"/>
    <w:rsid w:val="00FD4697"/>
    <w:rsid w:val="00FD5082"/>
    <w:rsid w:val="00FD58AB"/>
    <w:rsid w:val="00FD5CF8"/>
    <w:rsid w:val="00FD609A"/>
    <w:rsid w:val="00FD70A6"/>
    <w:rsid w:val="00FD76B6"/>
    <w:rsid w:val="00FD7DCD"/>
    <w:rsid w:val="00FE2CA9"/>
    <w:rsid w:val="00FE33B5"/>
    <w:rsid w:val="00FE4CAC"/>
    <w:rsid w:val="00FE7E7D"/>
    <w:rsid w:val="00FF0BBE"/>
    <w:rsid w:val="00FF1CD6"/>
    <w:rsid w:val="00FF20B8"/>
    <w:rsid w:val="00FF2600"/>
    <w:rsid w:val="00FF293E"/>
    <w:rsid w:val="00FF425A"/>
    <w:rsid w:val="00FF52CA"/>
    <w:rsid w:val="00FF540E"/>
    <w:rsid w:val="00FF5AE5"/>
    <w:rsid w:val="00FF6187"/>
    <w:rsid w:val="00FF6695"/>
    <w:rsid w:val="00FF70E6"/>
    <w:rsid w:val="00FF7F37"/>
    <w:rsid w:val="01757D6C"/>
    <w:rsid w:val="01B67A50"/>
    <w:rsid w:val="01C603F3"/>
    <w:rsid w:val="026D5A4E"/>
    <w:rsid w:val="027F08F6"/>
    <w:rsid w:val="029C3C3D"/>
    <w:rsid w:val="02AF35B9"/>
    <w:rsid w:val="02DB5B22"/>
    <w:rsid w:val="02E2117E"/>
    <w:rsid w:val="02EF31FC"/>
    <w:rsid w:val="02FE30FC"/>
    <w:rsid w:val="031D5029"/>
    <w:rsid w:val="031F5CB1"/>
    <w:rsid w:val="033E7BDE"/>
    <w:rsid w:val="03423A5A"/>
    <w:rsid w:val="03745A07"/>
    <w:rsid w:val="038F6F0F"/>
    <w:rsid w:val="03B67A42"/>
    <w:rsid w:val="03BC3FA3"/>
    <w:rsid w:val="03CD7699"/>
    <w:rsid w:val="03D05B32"/>
    <w:rsid w:val="0403263B"/>
    <w:rsid w:val="042947BD"/>
    <w:rsid w:val="0453546B"/>
    <w:rsid w:val="04D75C17"/>
    <w:rsid w:val="04DF51E5"/>
    <w:rsid w:val="04F67264"/>
    <w:rsid w:val="05057FD0"/>
    <w:rsid w:val="054E0A7B"/>
    <w:rsid w:val="058118D7"/>
    <w:rsid w:val="05B6173B"/>
    <w:rsid w:val="05BA22D5"/>
    <w:rsid w:val="05EE13C9"/>
    <w:rsid w:val="05F525E4"/>
    <w:rsid w:val="05FE5366"/>
    <w:rsid w:val="0620398B"/>
    <w:rsid w:val="063548D6"/>
    <w:rsid w:val="065E0D7E"/>
    <w:rsid w:val="068F508F"/>
    <w:rsid w:val="06B16195"/>
    <w:rsid w:val="077B122A"/>
    <w:rsid w:val="07AE5867"/>
    <w:rsid w:val="07CA6A37"/>
    <w:rsid w:val="07FA45B7"/>
    <w:rsid w:val="08724C55"/>
    <w:rsid w:val="0880043F"/>
    <w:rsid w:val="09CE6E57"/>
    <w:rsid w:val="09FC6A4A"/>
    <w:rsid w:val="0A3F353B"/>
    <w:rsid w:val="0AC72D79"/>
    <w:rsid w:val="0ADB6D97"/>
    <w:rsid w:val="0B162392"/>
    <w:rsid w:val="0B4E4A5D"/>
    <w:rsid w:val="0B7D1AED"/>
    <w:rsid w:val="0C835496"/>
    <w:rsid w:val="0CE770D5"/>
    <w:rsid w:val="0CFB26C2"/>
    <w:rsid w:val="0D1D6ADC"/>
    <w:rsid w:val="0D3C1AAA"/>
    <w:rsid w:val="0D680BE0"/>
    <w:rsid w:val="0DA447BB"/>
    <w:rsid w:val="0DDE6EB8"/>
    <w:rsid w:val="0DFF388F"/>
    <w:rsid w:val="0E232C28"/>
    <w:rsid w:val="0E2E129C"/>
    <w:rsid w:val="0E574EDB"/>
    <w:rsid w:val="0E5C4985"/>
    <w:rsid w:val="0E7A5896"/>
    <w:rsid w:val="0EBC177A"/>
    <w:rsid w:val="0EEB6FFF"/>
    <w:rsid w:val="0F6760B8"/>
    <w:rsid w:val="0F735BCE"/>
    <w:rsid w:val="105A72C5"/>
    <w:rsid w:val="107463E5"/>
    <w:rsid w:val="10C74658"/>
    <w:rsid w:val="10EF29DA"/>
    <w:rsid w:val="11A147CF"/>
    <w:rsid w:val="11D91672"/>
    <w:rsid w:val="11F25627"/>
    <w:rsid w:val="1234148C"/>
    <w:rsid w:val="12371A06"/>
    <w:rsid w:val="123C4ABE"/>
    <w:rsid w:val="13061A78"/>
    <w:rsid w:val="130F3B9D"/>
    <w:rsid w:val="133C6704"/>
    <w:rsid w:val="13630A49"/>
    <w:rsid w:val="13BD3F47"/>
    <w:rsid w:val="13D9596F"/>
    <w:rsid w:val="13DC20C9"/>
    <w:rsid w:val="145427FA"/>
    <w:rsid w:val="14AC3604"/>
    <w:rsid w:val="14FD37CF"/>
    <w:rsid w:val="158445F0"/>
    <w:rsid w:val="158A5B65"/>
    <w:rsid w:val="15D73804"/>
    <w:rsid w:val="164A6478"/>
    <w:rsid w:val="165E0F95"/>
    <w:rsid w:val="166516F8"/>
    <w:rsid w:val="16CB3D75"/>
    <w:rsid w:val="16FF3191"/>
    <w:rsid w:val="17077FD1"/>
    <w:rsid w:val="170A3665"/>
    <w:rsid w:val="17664E76"/>
    <w:rsid w:val="177C7763"/>
    <w:rsid w:val="17900032"/>
    <w:rsid w:val="17927295"/>
    <w:rsid w:val="17B14BF9"/>
    <w:rsid w:val="17CA36C8"/>
    <w:rsid w:val="17FB5A34"/>
    <w:rsid w:val="184360FD"/>
    <w:rsid w:val="189D479A"/>
    <w:rsid w:val="18BD7169"/>
    <w:rsid w:val="18D1647F"/>
    <w:rsid w:val="18D86D91"/>
    <w:rsid w:val="1908025D"/>
    <w:rsid w:val="19D6028A"/>
    <w:rsid w:val="19E77C11"/>
    <w:rsid w:val="19EF538C"/>
    <w:rsid w:val="19EF6927"/>
    <w:rsid w:val="1A0924D1"/>
    <w:rsid w:val="1A1C0FE1"/>
    <w:rsid w:val="1A88384B"/>
    <w:rsid w:val="1AD872CD"/>
    <w:rsid w:val="1AE70EEC"/>
    <w:rsid w:val="1B14076F"/>
    <w:rsid w:val="1B565609"/>
    <w:rsid w:val="1B5A4640"/>
    <w:rsid w:val="1BA81D0B"/>
    <w:rsid w:val="1BA82F7A"/>
    <w:rsid w:val="1C4D14DD"/>
    <w:rsid w:val="1C612B8E"/>
    <w:rsid w:val="1CEA7476"/>
    <w:rsid w:val="1CFC2CF4"/>
    <w:rsid w:val="1D8A7DED"/>
    <w:rsid w:val="1DAF4EEB"/>
    <w:rsid w:val="1DE975C0"/>
    <w:rsid w:val="1DF3679B"/>
    <w:rsid w:val="1DFB7351"/>
    <w:rsid w:val="1EF676C0"/>
    <w:rsid w:val="1F0C32E7"/>
    <w:rsid w:val="1F5910C8"/>
    <w:rsid w:val="1F5E0C8E"/>
    <w:rsid w:val="1F7603E0"/>
    <w:rsid w:val="1F8B42E9"/>
    <w:rsid w:val="1F974EC1"/>
    <w:rsid w:val="1FBF47A2"/>
    <w:rsid w:val="1FFE72CB"/>
    <w:rsid w:val="20113134"/>
    <w:rsid w:val="2017074E"/>
    <w:rsid w:val="20C133F8"/>
    <w:rsid w:val="20F54E29"/>
    <w:rsid w:val="212030D7"/>
    <w:rsid w:val="212874CF"/>
    <w:rsid w:val="213825F5"/>
    <w:rsid w:val="217A0581"/>
    <w:rsid w:val="217E667A"/>
    <w:rsid w:val="218D656F"/>
    <w:rsid w:val="21F93FD6"/>
    <w:rsid w:val="220723E7"/>
    <w:rsid w:val="22486578"/>
    <w:rsid w:val="22575D40"/>
    <w:rsid w:val="22B537C3"/>
    <w:rsid w:val="22BB54C1"/>
    <w:rsid w:val="22CB180A"/>
    <w:rsid w:val="22FB1A24"/>
    <w:rsid w:val="235653D0"/>
    <w:rsid w:val="235D2862"/>
    <w:rsid w:val="23A41D2F"/>
    <w:rsid w:val="23D42997"/>
    <w:rsid w:val="23DB32E7"/>
    <w:rsid w:val="23E915D2"/>
    <w:rsid w:val="24064469"/>
    <w:rsid w:val="240F3266"/>
    <w:rsid w:val="241B13FE"/>
    <w:rsid w:val="24661BDD"/>
    <w:rsid w:val="24716EF0"/>
    <w:rsid w:val="248E3FF4"/>
    <w:rsid w:val="249A411D"/>
    <w:rsid w:val="24CE08C5"/>
    <w:rsid w:val="24D45BAE"/>
    <w:rsid w:val="252B59D4"/>
    <w:rsid w:val="256C6F17"/>
    <w:rsid w:val="26362C80"/>
    <w:rsid w:val="273C6F37"/>
    <w:rsid w:val="275B006D"/>
    <w:rsid w:val="27697725"/>
    <w:rsid w:val="277A4090"/>
    <w:rsid w:val="278A18F4"/>
    <w:rsid w:val="283A49F1"/>
    <w:rsid w:val="286A13F2"/>
    <w:rsid w:val="28780AC6"/>
    <w:rsid w:val="288E5833"/>
    <w:rsid w:val="28F42A99"/>
    <w:rsid w:val="293526AA"/>
    <w:rsid w:val="293F7FDE"/>
    <w:rsid w:val="295A2FA1"/>
    <w:rsid w:val="29A22701"/>
    <w:rsid w:val="29E72E70"/>
    <w:rsid w:val="29EC73A5"/>
    <w:rsid w:val="2A3A42FE"/>
    <w:rsid w:val="2AA10CE0"/>
    <w:rsid w:val="2AAD67A9"/>
    <w:rsid w:val="2B1271EB"/>
    <w:rsid w:val="2B2E70E5"/>
    <w:rsid w:val="2BAE26FB"/>
    <w:rsid w:val="2BCD0AE0"/>
    <w:rsid w:val="2BD8324A"/>
    <w:rsid w:val="2C134FE1"/>
    <w:rsid w:val="2C2514B1"/>
    <w:rsid w:val="2C3B6A04"/>
    <w:rsid w:val="2C3E2C4C"/>
    <w:rsid w:val="2C5021B7"/>
    <w:rsid w:val="2C8E561B"/>
    <w:rsid w:val="2C932C69"/>
    <w:rsid w:val="2C9F2A67"/>
    <w:rsid w:val="2D1A5BEB"/>
    <w:rsid w:val="2D227DC7"/>
    <w:rsid w:val="2D2845BC"/>
    <w:rsid w:val="2D2E73A1"/>
    <w:rsid w:val="2D956272"/>
    <w:rsid w:val="2D9C188C"/>
    <w:rsid w:val="2DC34A81"/>
    <w:rsid w:val="2DCF4D6D"/>
    <w:rsid w:val="2DD125B6"/>
    <w:rsid w:val="2E244107"/>
    <w:rsid w:val="2E510491"/>
    <w:rsid w:val="2E5A73E1"/>
    <w:rsid w:val="2E665884"/>
    <w:rsid w:val="2E974B67"/>
    <w:rsid w:val="2EDD3BF4"/>
    <w:rsid w:val="2F544FF2"/>
    <w:rsid w:val="2F6B678F"/>
    <w:rsid w:val="2FD70501"/>
    <w:rsid w:val="303D703D"/>
    <w:rsid w:val="30687A23"/>
    <w:rsid w:val="30DB62B6"/>
    <w:rsid w:val="31067F47"/>
    <w:rsid w:val="31167EA0"/>
    <w:rsid w:val="311878A1"/>
    <w:rsid w:val="311D4032"/>
    <w:rsid w:val="31637517"/>
    <w:rsid w:val="31AD08B7"/>
    <w:rsid w:val="31B27A3B"/>
    <w:rsid w:val="31ED2820"/>
    <w:rsid w:val="32024F1D"/>
    <w:rsid w:val="325038E7"/>
    <w:rsid w:val="328525EA"/>
    <w:rsid w:val="32CE29C2"/>
    <w:rsid w:val="32DF309E"/>
    <w:rsid w:val="3322684B"/>
    <w:rsid w:val="33625EAA"/>
    <w:rsid w:val="337F0FF3"/>
    <w:rsid w:val="33EF36DB"/>
    <w:rsid w:val="33FB645A"/>
    <w:rsid w:val="345C616D"/>
    <w:rsid w:val="345E27C4"/>
    <w:rsid w:val="34BD4B51"/>
    <w:rsid w:val="34E872EB"/>
    <w:rsid w:val="35075E5A"/>
    <w:rsid w:val="350E36C5"/>
    <w:rsid w:val="354C2118"/>
    <w:rsid w:val="35610790"/>
    <w:rsid w:val="35612591"/>
    <w:rsid w:val="35887B8D"/>
    <w:rsid w:val="35AE4476"/>
    <w:rsid w:val="35B03D92"/>
    <w:rsid w:val="35CE11B2"/>
    <w:rsid w:val="36154C88"/>
    <w:rsid w:val="36252C67"/>
    <w:rsid w:val="368F0B09"/>
    <w:rsid w:val="369A4027"/>
    <w:rsid w:val="369A739E"/>
    <w:rsid w:val="37395321"/>
    <w:rsid w:val="374227A0"/>
    <w:rsid w:val="37683313"/>
    <w:rsid w:val="37853041"/>
    <w:rsid w:val="379E4C02"/>
    <w:rsid w:val="37C5232F"/>
    <w:rsid w:val="38F94A57"/>
    <w:rsid w:val="392B2444"/>
    <w:rsid w:val="395846F2"/>
    <w:rsid w:val="39C74071"/>
    <w:rsid w:val="39E130BC"/>
    <w:rsid w:val="3A4B78A6"/>
    <w:rsid w:val="3A5A7B55"/>
    <w:rsid w:val="3ABE28CC"/>
    <w:rsid w:val="3B0C3412"/>
    <w:rsid w:val="3B257775"/>
    <w:rsid w:val="3B4646D5"/>
    <w:rsid w:val="3B4F0D0C"/>
    <w:rsid w:val="3B4F2436"/>
    <w:rsid w:val="3B540375"/>
    <w:rsid w:val="3BDC7581"/>
    <w:rsid w:val="3C083874"/>
    <w:rsid w:val="3C552BBD"/>
    <w:rsid w:val="3C6476E4"/>
    <w:rsid w:val="3C671A8F"/>
    <w:rsid w:val="3C7D6764"/>
    <w:rsid w:val="3CDD209D"/>
    <w:rsid w:val="3D244AC1"/>
    <w:rsid w:val="3D9C262D"/>
    <w:rsid w:val="3DFB14A1"/>
    <w:rsid w:val="3E035B0F"/>
    <w:rsid w:val="3E57657B"/>
    <w:rsid w:val="3E5842FE"/>
    <w:rsid w:val="3E5D4364"/>
    <w:rsid w:val="3ECA596B"/>
    <w:rsid w:val="3F2E38A2"/>
    <w:rsid w:val="3F551B15"/>
    <w:rsid w:val="3FBB6142"/>
    <w:rsid w:val="3FDE44DC"/>
    <w:rsid w:val="40291232"/>
    <w:rsid w:val="4031316B"/>
    <w:rsid w:val="407903DC"/>
    <w:rsid w:val="408706D3"/>
    <w:rsid w:val="40D05741"/>
    <w:rsid w:val="40F55A84"/>
    <w:rsid w:val="40FA7E49"/>
    <w:rsid w:val="413B45D2"/>
    <w:rsid w:val="41771B49"/>
    <w:rsid w:val="421A2073"/>
    <w:rsid w:val="422148CB"/>
    <w:rsid w:val="426D1F05"/>
    <w:rsid w:val="429574BD"/>
    <w:rsid w:val="42B60A09"/>
    <w:rsid w:val="434D6210"/>
    <w:rsid w:val="43507DFC"/>
    <w:rsid w:val="4357075F"/>
    <w:rsid w:val="43732951"/>
    <w:rsid w:val="43A01BC0"/>
    <w:rsid w:val="43C1218D"/>
    <w:rsid w:val="43D24560"/>
    <w:rsid w:val="43F80860"/>
    <w:rsid w:val="447B7CC7"/>
    <w:rsid w:val="44CB1ED8"/>
    <w:rsid w:val="44D04950"/>
    <w:rsid w:val="451633F6"/>
    <w:rsid w:val="46080375"/>
    <w:rsid w:val="4639421E"/>
    <w:rsid w:val="46857785"/>
    <w:rsid w:val="46887A7D"/>
    <w:rsid w:val="46C6375A"/>
    <w:rsid w:val="470914ED"/>
    <w:rsid w:val="4717429E"/>
    <w:rsid w:val="477A7EBA"/>
    <w:rsid w:val="477B4092"/>
    <w:rsid w:val="48512772"/>
    <w:rsid w:val="48514EDE"/>
    <w:rsid w:val="485C4777"/>
    <w:rsid w:val="487D4232"/>
    <w:rsid w:val="48D616D5"/>
    <w:rsid w:val="490B4AEA"/>
    <w:rsid w:val="49514122"/>
    <w:rsid w:val="49D87443"/>
    <w:rsid w:val="4A1608FD"/>
    <w:rsid w:val="4A2D0A01"/>
    <w:rsid w:val="4A40486B"/>
    <w:rsid w:val="4AB13666"/>
    <w:rsid w:val="4ADD5148"/>
    <w:rsid w:val="4AE41E96"/>
    <w:rsid w:val="4B3A109F"/>
    <w:rsid w:val="4B7F53EA"/>
    <w:rsid w:val="4B9107F9"/>
    <w:rsid w:val="4B9E34D5"/>
    <w:rsid w:val="4BB20856"/>
    <w:rsid w:val="4BCB2534"/>
    <w:rsid w:val="4BD166D8"/>
    <w:rsid w:val="4BE776C6"/>
    <w:rsid w:val="4C011848"/>
    <w:rsid w:val="4C044814"/>
    <w:rsid w:val="4C1A2BA0"/>
    <w:rsid w:val="4C1D581B"/>
    <w:rsid w:val="4C29373A"/>
    <w:rsid w:val="4C2E6D51"/>
    <w:rsid w:val="4C4174A2"/>
    <w:rsid w:val="4C585A0F"/>
    <w:rsid w:val="4CF96382"/>
    <w:rsid w:val="4D3C3A61"/>
    <w:rsid w:val="4D4E063D"/>
    <w:rsid w:val="4D790B90"/>
    <w:rsid w:val="4DE04487"/>
    <w:rsid w:val="4DF254C6"/>
    <w:rsid w:val="4E380C6E"/>
    <w:rsid w:val="4E4C53B9"/>
    <w:rsid w:val="4E5530AA"/>
    <w:rsid w:val="4E5F400D"/>
    <w:rsid w:val="4F33111A"/>
    <w:rsid w:val="4F7751AF"/>
    <w:rsid w:val="4F940184"/>
    <w:rsid w:val="4FEF57D7"/>
    <w:rsid w:val="50017646"/>
    <w:rsid w:val="500C4858"/>
    <w:rsid w:val="502B04BF"/>
    <w:rsid w:val="503D42C7"/>
    <w:rsid w:val="50E40C87"/>
    <w:rsid w:val="50FB6272"/>
    <w:rsid w:val="510328D8"/>
    <w:rsid w:val="51072832"/>
    <w:rsid w:val="51230246"/>
    <w:rsid w:val="51A21C47"/>
    <w:rsid w:val="51A60B4C"/>
    <w:rsid w:val="51C439CB"/>
    <w:rsid w:val="51F356C8"/>
    <w:rsid w:val="52052024"/>
    <w:rsid w:val="520E1F51"/>
    <w:rsid w:val="520F6A58"/>
    <w:rsid w:val="52107A7E"/>
    <w:rsid w:val="52306A34"/>
    <w:rsid w:val="52535DFD"/>
    <w:rsid w:val="525C12CD"/>
    <w:rsid w:val="525F2EBE"/>
    <w:rsid w:val="5262211C"/>
    <w:rsid w:val="526C7972"/>
    <w:rsid w:val="52AA0F66"/>
    <w:rsid w:val="52C35E78"/>
    <w:rsid w:val="530B5910"/>
    <w:rsid w:val="530C3352"/>
    <w:rsid w:val="531D707B"/>
    <w:rsid w:val="53341DDA"/>
    <w:rsid w:val="53497F05"/>
    <w:rsid w:val="53871202"/>
    <w:rsid w:val="53AF6DF2"/>
    <w:rsid w:val="53C15842"/>
    <w:rsid w:val="541C4E2F"/>
    <w:rsid w:val="542157DA"/>
    <w:rsid w:val="54284764"/>
    <w:rsid w:val="5430509A"/>
    <w:rsid w:val="5470418F"/>
    <w:rsid w:val="54DE744F"/>
    <w:rsid w:val="54E50447"/>
    <w:rsid w:val="55456B70"/>
    <w:rsid w:val="555B1B85"/>
    <w:rsid w:val="55603FEB"/>
    <w:rsid w:val="55750D6B"/>
    <w:rsid w:val="559669A1"/>
    <w:rsid w:val="55AE089F"/>
    <w:rsid w:val="55C228D3"/>
    <w:rsid w:val="55FF5FDA"/>
    <w:rsid w:val="56017B32"/>
    <w:rsid w:val="560C4EB1"/>
    <w:rsid w:val="560D1E89"/>
    <w:rsid w:val="567E091F"/>
    <w:rsid w:val="56933E7B"/>
    <w:rsid w:val="56CB0123"/>
    <w:rsid w:val="57401D39"/>
    <w:rsid w:val="577416FB"/>
    <w:rsid w:val="5782176E"/>
    <w:rsid w:val="57A1663F"/>
    <w:rsid w:val="57A22507"/>
    <w:rsid w:val="57E93E2C"/>
    <w:rsid w:val="57F40DD1"/>
    <w:rsid w:val="57FC26EC"/>
    <w:rsid w:val="58085963"/>
    <w:rsid w:val="5829098B"/>
    <w:rsid w:val="58EA3588"/>
    <w:rsid w:val="58FA668E"/>
    <w:rsid w:val="59015042"/>
    <w:rsid w:val="59FF561A"/>
    <w:rsid w:val="5A285312"/>
    <w:rsid w:val="5A6D1A7D"/>
    <w:rsid w:val="5A70455A"/>
    <w:rsid w:val="5A71640A"/>
    <w:rsid w:val="5A982F4B"/>
    <w:rsid w:val="5ACA6B16"/>
    <w:rsid w:val="5AED5059"/>
    <w:rsid w:val="5B055EEB"/>
    <w:rsid w:val="5B0B6244"/>
    <w:rsid w:val="5B2979FC"/>
    <w:rsid w:val="5B3D39D4"/>
    <w:rsid w:val="5B532804"/>
    <w:rsid w:val="5B96130A"/>
    <w:rsid w:val="5C4573A4"/>
    <w:rsid w:val="5C5D5374"/>
    <w:rsid w:val="5C6B2AB9"/>
    <w:rsid w:val="5C975A0D"/>
    <w:rsid w:val="5C9867F9"/>
    <w:rsid w:val="5C992482"/>
    <w:rsid w:val="5CCA41B3"/>
    <w:rsid w:val="5CCF7BE3"/>
    <w:rsid w:val="5CD77D14"/>
    <w:rsid w:val="5CDF3D0B"/>
    <w:rsid w:val="5D57303F"/>
    <w:rsid w:val="5D7A07D2"/>
    <w:rsid w:val="5DCC51F1"/>
    <w:rsid w:val="5E036F3A"/>
    <w:rsid w:val="5E200FAE"/>
    <w:rsid w:val="5E236935"/>
    <w:rsid w:val="5E347057"/>
    <w:rsid w:val="5E425C3D"/>
    <w:rsid w:val="5E6A7CB4"/>
    <w:rsid w:val="5EA24574"/>
    <w:rsid w:val="5EC048E4"/>
    <w:rsid w:val="5EF36D0A"/>
    <w:rsid w:val="5F430A12"/>
    <w:rsid w:val="5F941BE9"/>
    <w:rsid w:val="5FE90D26"/>
    <w:rsid w:val="60390B97"/>
    <w:rsid w:val="60661647"/>
    <w:rsid w:val="60B976A3"/>
    <w:rsid w:val="60D34072"/>
    <w:rsid w:val="61722B2B"/>
    <w:rsid w:val="62594DDD"/>
    <w:rsid w:val="6271555C"/>
    <w:rsid w:val="628932D3"/>
    <w:rsid w:val="62AB1EEE"/>
    <w:rsid w:val="63293329"/>
    <w:rsid w:val="632A47AA"/>
    <w:rsid w:val="63366193"/>
    <w:rsid w:val="63466990"/>
    <w:rsid w:val="637412F7"/>
    <w:rsid w:val="63A42748"/>
    <w:rsid w:val="63E56AA5"/>
    <w:rsid w:val="63F41D83"/>
    <w:rsid w:val="640F0F63"/>
    <w:rsid w:val="642C1829"/>
    <w:rsid w:val="642C510C"/>
    <w:rsid w:val="64325DFA"/>
    <w:rsid w:val="647B1063"/>
    <w:rsid w:val="64E35139"/>
    <w:rsid w:val="65111481"/>
    <w:rsid w:val="652A3D62"/>
    <w:rsid w:val="65767563"/>
    <w:rsid w:val="659348BD"/>
    <w:rsid w:val="65C72DCF"/>
    <w:rsid w:val="65EE2AFE"/>
    <w:rsid w:val="65F02759"/>
    <w:rsid w:val="66300EA3"/>
    <w:rsid w:val="664B4A49"/>
    <w:rsid w:val="666530BD"/>
    <w:rsid w:val="668B7764"/>
    <w:rsid w:val="66AC046D"/>
    <w:rsid w:val="67387A67"/>
    <w:rsid w:val="67575A8D"/>
    <w:rsid w:val="67B12081"/>
    <w:rsid w:val="67BF6B6F"/>
    <w:rsid w:val="67DE26FC"/>
    <w:rsid w:val="67F46052"/>
    <w:rsid w:val="68233C93"/>
    <w:rsid w:val="68644FB0"/>
    <w:rsid w:val="6867292C"/>
    <w:rsid w:val="68EB1DD2"/>
    <w:rsid w:val="68F06AD4"/>
    <w:rsid w:val="69103712"/>
    <w:rsid w:val="69181BD9"/>
    <w:rsid w:val="69231DD9"/>
    <w:rsid w:val="695F6E2D"/>
    <w:rsid w:val="69992D2E"/>
    <w:rsid w:val="69A41AEF"/>
    <w:rsid w:val="69BC61FD"/>
    <w:rsid w:val="69F93FC7"/>
    <w:rsid w:val="69FC747D"/>
    <w:rsid w:val="6A0771B6"/>
    <w:rsid w:val="6A1F03EC"/>
    <w:rsid w:val="6A505E2F"/>
    <w:rsid w:val="6A894111"/>
    <w:rsid w:val="6AAE1F9D"/>
    <w:rsid w:val="6AD420B4"/>
    <w:rsid w:val="6B155E6C"/>
    <w:rsid w:val="6B8B0EDA"/>
    <w:rsid w:val="6BF42D98"/>
    <w:rsid w:val="6C371D38"/>
    <w:rsid w:val="6C696AEF"/>
    <w:rsid w:val="6C7527A8"/>
    <w:rsid w:val="6C9A5C8A"/>
    <w:rsid w:val="6C9B5D7E"/>
    <w:rsid w:val="6CC3286D"/>
    <w:rsid w:val="6CD00A4A"/>
    <w:rsid w:val="6CE358B6"/>
    <w:rsid w:val="6D21445E"/>
    <w:rsid w:val="6D346135"/>
    <w:rsid w:val="6D4754F7"/>
    <w:rsid w:val="6D4E1456"/>
    <w:rsid w:val="6D8E3146"/>
    <w:rsid w:val="6E5505E5"/>
    <w:rsid w:val="6EB72CA6"/>
    <w:rsid w:val="6EE97800"/>
    <w:rsid w:val="6F357F71"/>
    <w:rsid w:val="6F613C82"/>
    <w:rsid w:val="6F8B2BA3"/>
    <w:rsid w:val="6FA808C0"/>
    <w:rsid w:val="6FB87F9A"/>
    <w:rsid w:val="7056535F"/>
    <w:rsid w:val="708625C4"/>
    <w:rsid w:val="70A873C2"/>
    <w:rsid w:val="70B94E05"/>
    <w:rsid w:val="70C861EE"/>
    <w:rsid w:val="70E96186"/>
    <w:rsid w:val="71483F36"/>
    <w:rsid w:val="714A72CE"/>
    <w:rsid w:val="71607375"/>
    <w:rsid w:val="72286570"/>
    <w:rsid w:val="722B259E"/>
    <w:rsid w:val="724D243B"/>
    <w:rsid w:val="72516958"/>
    <w:rsid w:val="72781833"/>
    <w:rsid w:val="727E5BD4"/>
    <w:rsid w:val="72B13D47"/>
    <w:rsid w:val="73775D00"/>
    <w:rsid w:val="73BF3D93"/>
    <w:rsid w:val="73DB1909"/>
    <w:rsid w:val="73E44651"/>
    <w:rsid w:val="742D247D"/>
    <w:rsid w:val="74922A45"/>
    <w:rsid w:val="74C67D27"/>
    <w:rsid w:val="74DE3AC0"/>
    <w:rsid w:val="74E35816"/>
    <w:rsid w:val="74F3159E"/>
    <w:rsid w:val="752F25FD"/>
    <w:rsid w:val="754438E2"/>
    <w:rsid w:val="756B2F29"/>
    <w:rsid w:val="75B8697D"/>
    <w:rsid w:val="75E03A87"/>
    <w:rsid w:val="75E176F0"/>
    <w:rsid w:val="760859F0"/>
    <w:rsid w:val="762828AA"/>
    <w:rsid w:val="76483F8A"/>
    <w:rsid w:val="7669422C"/>
    <w:rsid w:val="76A2773F"/>
    <w:rsid w:val="76B00445"/>
    <w:rsid w:val="76BB4582"/>
    <w:rsid w:val="772877DD"/>
    <w:rsid w:val="773410EC"/>
    <w:rsid w:val="77C316A6"/>
    <w:rsid w:val="780A11D3"/>
    <w:rsid w:val="784D7779"/>
    <w:rsid w:val="78BF4C03"/>
    <w:rsid w:val="78E801F3"/>
    <w:rsid w:val="793346B0"/>
    <w:rsid w:val="79864A5B"/>
    <w:rsid w:val="799668CF"/>
    <w:rsid w:val="79C73CD9"/>
    <w:rsid w:val="79CA729C"/>
    <w:rsid w:val="79CB7624"/>
    <w:rsid w:val="79DB5CC4"/>
    <w:rsid w:val="79EE7A68"/>
    <w:rsid w:val="7A806D0F"/>
    <w:rsid w:val="7AEE3F26"/>
    <w:rsid w:val="7B985B8F"/>
    <w:rsid w:val="7BC24A25"/>
    <w:rsid w:val="7BCB7049"/>
    <w:rsid w:val="7C1750A0"/>
    <w:rsid w:val="7C251E94"/>
    <w:rsid w:val="7C656269"/>
    <w:rsid w:val="7CBF4EBE"/>
    <w:rsid w:val="7CF94473"/>
    <w:rsid w:val="7D0C7BFF"/>
    <w:rsid w:val="7D144545"/>
    <w:rsid w:val="7D4B6BE2"/>
    <w:rsid w:val="7D8446CF"/>
    <w:rsid w:val="7DDB7472"/>
    <w:rsid w:val="7DE06ED6"/>
    <w:rsid w:val="7E127936"/>
    <w:rsid w:val="7E2E0971"/>
    <w:rsid w:val="7E374363"/>
    <w:rsid w:val="7EC3172A"/>
    <w:rsid w:val="7ECE3578"/>
    <w:rsid w:val="7EF265F5"/>
    <w:rsid w:val="7F3A2A76"/>
    <w:rsid w:val="7F535387"/>
    <w:rsid w:val="7F6C1DC8"/>
    <w:rsid w:val="7FC655DB"/>
    <w:rsid w:val="7FCB445E"/>
    <w:rsid w:val="7FCB7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left="50" w:right="62" w:hanging="50" w:hangingChars="5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1"/>
    <w:qFormat/>
    <w:uiPriority w:val="0"/>
    <w:pPr>
      <w:keepNext/>
      <w:keepLines/>
      <w:pageBreakBefore/>
      <w:numPr>
        <w:ilvl w:val="0"/>
        <w:numId w:val="1"/>
      </w:numPr>
      <w:adjustRightInd w:val="0"/>
      <w:spacing w:before="340" w:after="330" w:line="900" w:lineRule="exact"/>
      <w:jc w:val="center"/>
      <w:outlineLvl w:val="0"/>
    </w:pPr>
    <w:rPr>
      <w:b/>
      <w:kern w:val="44"/>
      <w:sz w:val="32"/>
      <w:szCs w:val="20"/>
    </w:rPr>
  </w:style>
  <w:style w:type="paragraph" w:styleId="4">
    <w:name w:val="heading 2"/>
    <w:basedOn w:val="1"/>
    <w:next w:val="1"/>
    <w:qFormat/>
    <w:uiPriority w:val="0"/>
    <w:pPr>
      <w:keepNext/>
      <w:keepLines/>
      <w:spacing w:before="260" w:after="260" w:line="800" w:lineRule="exact"/>
      <w:jc w:val="center"/>
      <w:outlineLvl w:val="1"/>
    </w:pPr>
    <w:rPr>
      <w:b/>
      <w:bCs/>
      <w:sz w:val="30"/>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numPr>
        <w:ilvl w:val="3"/>
        <w:numId w:val="2"/>
      </w:numPr>
      <w:tabs>
        <w:tab w:val="left" w:pos="425"/>
      </w:tabs>
      <w:spacing w:before="280" w:after="290" w:line="376" w:lineRule="auto"/>
      <w:outlineLvl w:val="3"/>
    </w:pPr>
    <w:rPr>
      <w:rFonts w:ascii="Arial" w:hAnsi="Arial" w:eastAsia="黑体"/>
      <w:b/>
      <w:bCs/>
      <w:sz w:val="28"/>
      <w:szCs w:val="28"/>
    </w:rPr>
  </w:style>
  <w:style w:type="paragraph" w:styleId="7">
    <w:name w:val="heading 5"/>
    <w:basedOn w:val="8"/>
    <w:next w:val="9"/>
    <w:qFormat/>
    <w:uiPriority w:val="0"/>
    <w:pPr>
      <w:outlineLvl w:val="4"/>
    </w:pPr>
  </w:style>
  <w:style w:type="paragraph" w:styleId="10">
    <w:name w:val="heading 6"/>
    <w:basedOn w:val="8"/>
    <w:next w:val="9"/>
    <w:qFormat/>
    <w:uiPriority w:val="0"/>
    <w:pPr>
      <w:outlineLvl w:val="5"/>
    </w:pPr>
    <w:rPr>
      <w:i/>
    </w:rPr>
  </w:style>
  <w:style w:type="paragraph" w:styleId="11">
    <w:name w:val="heading 7"/>
    <w:basedOn w:val="8"/>
    <w:next w:val="9"/>
    <w:qFormat/>
    <w:uiPriority w:val="0"/>
    <w:pPr>
      <w:ind w:firstLine="360"/>
      <w:outlineLvl w:val="6"/>
    </w:pPr>
    <w:rPr>
      <w:smallCaps/>
      <w:sz w:val="23"/>
    </w:rPr>
  </w:style>
  <w:style w:type="paragraph" w:styleId="12">
    <w:name w:val="heading 8"/>
    <w:basedOn w:val="8"/>
    <w:next w:val="9"/>
    <w:qFormat/>
    <w:uiPriority w:val="0"/>
    <w:pPr>
      <w:ind w:firstLine="360"/>
      <w:outlineLvl w:val="7"/>
    </w:pPr>
    <w:rPr>
      <w:i/>
    </w:rPr>
  </w:style>
  <w:style w:type="paragraph" w:styleId="13">
    <w:name w:val="heading 9"/>
    <w:basedOn w:val="8"/>
    <w:next w:val="9"/>
    <w:qFormat/>
    <w:uiPriority w:val="0"/>
    <w:pPr>
      <w:outlineLvl w:val="8"/>
    </w:pPr>
  </w:style>
  <w:style w:type="character" w:default="1" w:styleId="72">
    <w:name w:val="Default Paragraph Font"/>
    <w:semiHidden/>
    <w:unhideWhenUsed/>
    <w:qFormat/>
    <w:uiPriority w:val="1"/>
  </w:style>
  <w:style w:type="table" w:default="1" w:styleId="70">
    <w:name w:val="Normal Table"/>
    <w:semiHidden/>
    <w:unhideWhenUsed/>
    <w:qFormat/>
    <w:uiPriority w:val="99"/>
    <w:tblPr>
      <w:tblCellMar>
        <w:top w:w="0" w:type="dxa"/>
        <w:left w:w="108" w:type="dxa"/>
        <w:bottom w:w="0" w:type="dxa"/>
        <w:right w:w="108" w:type="dxa"/>
      </w:tblCellMar>
    </w:tblPr>
  </w:style>
  <w:style w:type="paragraph" w:customStyle="1" w:styleId="2">
    <w:name w:val="_Style 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Heading Base"/>
    <w:basedOn w:val="9"/>
    <w:next w:val="9"/>
    <w:qFormat/>
    <w:uiPriority w:val="0"/>
    <w:pPr>
      <w:keepNext/>
      <w:keepLines/>
      <w:widowControl/>
      <w:overflowPunct w:val="0"/>
      <w:autoSpaceDE w:val="0"/>
      <w:autoSpaceDN w:val="0"/>
      <w:spacing w:after="0" w:line="240" w:lineRule="atLeast"/>
      <w:jc w:val="left"/>
      <w:textAlignment w:val="baseline"/>
    </w:pPr>
    <w:rPr>
      <w:rFonts w:ascii="Garamond" w:hAnsi="Garamond"/>
      <w:kern w:val="20"/>
      <w:sz w:val="20"/>
    </w:rPr>
  </w:style>
  <w:style w:type="paragraph" w:styleId="9">
    <w:name w:val="Body Text"/>
    <w:basedOn w:val="1"/>
    <w:next w:val="1"/>
    <w:qFormat/>
    <w:uiPriority w:val="0"/>
    <w:pPr>
      <w:adjustRightInd w:val="0"/>
      <w:spacing w:after="120" w:line="312" w:lineRule="atLeast"/>
    </w:pPr>
    <w:rPr>
      <w:kern w:val="0"/>
      <w:sz w:val="24"/>
      <w:szCs w:val="20"/>
    </w:rPr>
  </w:style>
  <w:style w:type="paragraph" w:styleId="14">
    <w:name w:val="List 3"/>
    <w:basedOn w:val="15"/>
    <w:qFormat/>
    <w:uiPriority w:val="0"/>
    <w:pPr>
      <w:widowControl/>
      <w:overflowPunct w:val="0"/>
      <w:autoSpaceDE w:val="0"/>
      <w:autoSpaceDN w:val="0"/>
      <w:spacing w:after="240" w:line="240" w:lineRule="atLeast"/>
      <w:ind w:left="1440" w:hanging="360"/>
    </w:pPr>
    <w:rPr>
      <w:rFonts w:ascii="Garamond" w:hAnsi="Garamond"/>
      <w:kern w:val="18"/>
      <w:sz w:val="20"/>
    </w:rPr>
  </w:style>
  <w:style w:type="paragraph" w:styleId="15">
    <w:name w:val="List"/>
    <w:basedOn w:val="1"/>
    <w:qFormat/>
    <w:uiPriority w:val="0"/>
    <w:pPr>
      <w:adjustRightInd w:val="0"/>
      <w:spacing w:line="312" w:lineRule="atLeast"/>
      <w:ind w:left="420" w:hanging="420"/>
      <w:textAlignment w:val="baseline"/>
    </w:pPr>
    <w:rPr>
      <w:kern w:val="0"/>
      <w:szCs w:val="20"/>
    </w:rPr>
  </w:style>
  <w:style w:type="paragraph" w:styleId="16">
    <w:name w:val="List Number 2"/>
    <w:basedOn w:val="17"/>
    <w:qFormat/>
    <w:uiPriority w:val="0"/>
    <w:pPr>
      <w:ind w:left="1080"/>
    </w:pPr>
  </w:style>
  <w:style w:type="paragraph" w:styleId="17">
    <w:name w:val="List Number"/>
    <w:basedOn w:val="15"/>
    <w:qFormat/>
    <w:uiPriority w:val="0"/>
    <w:pPr>
      <w:widowControl/>
      <w:overflowPunct w:val="0"/>
      <w:autoSpaceDE w:val="0"/>
      <w:autoSpaceDN w:val="0"/>
      <w:spacing w:after="240" w:line="240" w:lineRule="atLeast"/>
      <w:ind w:left="720" w:right="720" w:hanging="360" w:firstLineChars="0"/>
    </w:pPr>
    <w:rPr>
      <w:rFonts w:ascii="Garamond" w:hAnsi="Garamond"/>
      <w:kern w:val="18"/>
      <w:sz w:val="20"/>
    </w:rPr>
  </w:style>
  <w:style w:type="paragraph" w:styleId="18">
    <w:name w:val="List Bullet 4"/>
    <w:basedOn w:val="19"/>
    <w:qFormat/>
    <w:uiPriority w:val="0"/>
    <w:pPr>
      <w:ind w:left="1800"/>
    </w:pPr>
  </w:style>
  <w:style w:type="paragraph" w:styleId="19">
    <w:name w:val="List Bullet"/>
    <w:basedOn w:val="15"/>
    <w:qFormat/>
    <w:uiPriority w:val="0"/>
    <w:pPr>
      <w:widowControl/>
      <w:overflowPunct w:val="0"/>
      <w:autoSpaceDE w:val="0"/>
      <w:autoSpaceDN w:val="0"/>
      <w:spacing w:after="240" w:line="240" w:lineRule="atLeast"/>
      <w:ind w:left="720" w:right="720" w:hanging="360" w:firstLineChars="0"/>
    </w:pPr>
    <w:rPr>
      <w:rFonts w:ascii="Garamond" w:hAnsi="Garamond"/>
      <w:kern w:val="18"/>
      <w:sz w:val="20"/>
    </w:rPr>
  </w:style>
  <w:style w:type="paragraph" w:styleId="20">
    <w:name w:val="Normal Indent"/>
    <w:basedOn w:val="1"/>
    <w:link w:val="133"/>
    <w:qFormat/>
    <w:uiPriority w:val="0"/>
    <w:pPr>
      <w:ind w:firstLine="420" w:firstLineChars="200"/>
    </w:pPr>
    <w:rPr>
      <w:sz w:val="24"/>
      <w:szCs w:val="20"/>
    </w:rPr>
  </w:style>
  <w:style w:type="paragraph" w:styleId="21">
    <w:name w:val="caption"/>
    <w:basedOn w:val="1"/>
    <w:next w:val="1"/>
    <w:qFormat/>
    <w:uiPriority w:val="0"/>
    <w:rPr>
      <w:i/>
      <w:spacing w:val="5"/>
    </w:rPr>
  </w:style>
  <w:style w:type="paragraph" w:styleId="22">
    <w:name w:val="envelope address"/>
    <w:basedOn w:val="9"/>
    <w:qFormat/>
    <w:uiPriority w:val="0"/>
    <w:pPr>
      <w:framePr w:w="7920" w:h="1987" w:hRule="exact" w:hSpace="187" w:vSpace="187" w:wrap="around" w:vAnchor="margin" w:hAnchor="page" w:xAlign="center" w:yAlign="bottom"/>
      <w:widowControl/>
      <w:overflowPunct w:val="0"/>
      <w:autoSpaceDE w:val="0"/>
      <w:autoSpaceDN w:val="0"/>
      <w:spacing w:after="0" w:line="220" w:lineRule="atLeast"/>
      <w:ind w:left="2880"/>
      <w:jc w:val="left"/>
      <w:textAlignment w:val="baseline"/>
    </w:pPr>
    <w:rPr>
      <w:rFonts w:ascii="Garamond" w:hAnsi="Garamond"/>
      <w:kern w:val="18"/>
      <w:sz w:val="20"/>
    </w:rPr>
  </w:style>
  <w:style w:type="paragraph" w:styleId="23">
    <w:name w:val="Document Map"/>
    <w:basedOn w:val="1"/>
    <w:semiHidden/>
    <w:qFormat/>
    <w:uiPriority w:val="0"/>
    <w:pPr>
      <w:shd w:val="clear" w:color="auto" w:fill="000080"/>
    </w:pPr>
  </w:style>
  <w:style w:type="paragraph" w:styleId="24">
    <w:name w:val="annotation text"/>
    <w:basedOn w:val="1"/>
    <w:link w:val="132"/>
    <w:qFormat/>
    <w:uiPriority w:val="0"/>
    <w:pPr>
      <w:jc w:val="left"/>
    </w:pPr>
  </w:style>
  <w:style w:type="paragraph" w:styleId="25">
    <w:name w:val="Salutation"/>
    <w:basedOn w:val="1"/>
    <w:next w:val="1"/>
    <w:qFormat/>
    <w:uiPriority w:val="0"/>
  </w:style>
  <w:style w:type="paragraph" w:styleId="26">
    <w:name w:val="Body Text 3"/>
    <w:basedOn w:val="1"/>
    <w:qFormat/>
    <w:uiPriority w:val="0"/>
    <w:pPr>
      <w:spacing w:after="120"/>
    </w:pPr>
    <w:rPr>
      <w:sz w:val="16"/>
      <w:szCs w:val="16"/>
    </w:rPr>
  </w:style>
  <w:style w:type="paragraph" w:styleId="27">
    <w:name w:val="Closing"/>
    <w:basedOn w:val="9"/>
    <w:next w:val="28"/>
    <w:qFormat/>
    <w:uiPriority w:val="0"/>
    <w:pPr>
      <w:keepNext/>
      <w:widowControl/>
      <w:overflowPunct w:val="0"/>
      <w:autoSpaceDE w:val="0"/>
      <w:autoSpaceDN w:val="0"/>
      <w:spacing w:line="240" w:lineRule="atLeast"/>
      <w:ind w:left="4560"/>
      <w:jc w:val="left"/>
      <w:textAlignment w:val="baseline"/>
    </w:pPr>
    <w:rPr>
      <w:rFonts w:ascii="Garamond" w:hAnsi="Garamond"/>
      <w:kern w:val="18"/>
      <w:sz w:val="20"/>
    </w:rPr>
  </w:style>
  <w:style w:type="paragraph" w:customStyle="1" w:styleId="28">
    <w:name w:val="Signature Company Name"/>
    <w:basedOn w:val="29"/>
    <w:next w:val="30"/>
    <w:qFormat/>
    <w:uiPriority w:val="0"/>
    <w:pPr>
      <w:spacing w:before="0"/>
    </w:pPr>
    <w:rPr>
      <w:caps/>
      <w:sz w:val="21"/>
    </w:rPr>
  </w:style>
  <w:style w:type="paragraph" w:styleId="29">
    <w:name w:val="Signature"/>
    <w:basedOn w:val="9"/>
    <w:qFormat/>
    <w:uiPriority w:val="0"/>
    <w:pPr>
      <w:keepNext/>
      <w:widowControl/>
      <w:overflowPunct w:val="0"/>
      <w:autoSpaceDE w:val="0"/>
      <w:autoSpaceDN w:val="0"/>
      <w:spacing w:before="660" w:after="0" w:line="240" w:lineRule="atLeast"/>
      <w:ind w:left="4560"/>
      <w:jc w:val="left"/>
      <w:textAlignment w:val="baseline"/>
    </w:pPr>
    <w:rPr>
      <w:rFonts w:ascii="Garamond" w:hAnsi="Garamond"/>
      <w:kern w:val="18"/>
      <w:sz w:val="20"/>
    </w:rPr>
  </w:style>
  <w:style w:type="paragraph" w:customStyle="1" w:styleId="30">
    <w:name w:val="Signature Name"/>
    <w:basedOn w:val="29"/>
    <w:next w:val="31"/>
    <w:qFormat/>
    <w:uiPriority w:val="0"/>
    <w:pPr>
      <w:spacing w:before="880"/>
    </w:pPr>
  </w:style>
  <w:style w:type="paragraph" w:customStyle="1" w:styleId="31">
    <w:name w:val="Signature Job Title"/>
    <w:basedOn w:val="29"/>
    <w:next w:val="32"/>
    <w:qFormat/>
    <w:uiPriority w:val="0"/>
    <w:pPr>
      <w:spacing w:before="0"/>
    </w:pPr>
  </w:style>
  <w:style w:type="paragraph" w:customStyle="1" w:styleId="32">
    <w:name w:val="Reference Initials"/>
    <w:basedOn w:val="9"/>
    <w:next w:val="33"/>
    <w:qFormat/>
    <w:uiPriority w:val="0"/>
    <w:pPr>
      <w:keepNext/>
      <w:keepLines/>
      <w:widowControl/>
      <w:overflowPunct w:val="0"/>
      <w:autoSpaceDE w:val="0"/>
      <w:autoSpaceDN w:val="0"/>
      <w:spacing w:before="220" w:after="0" w:line="240" w:lineRule="atLeast"/>
      <w:jc w:val="left"/>
      <w:textAlignment w:val="baseline"/>
    </w:pPr>
    <w:rPr>
      <w:rFonts w:ascii="Garamond" w:hAnsi="Garamond"/>
      <w:kern w:val="18"/>
      <w:sz w:val="20"/>
    </w:rPr>
  </w:style>
  <w:style w:type="paragraph" w:customStyle="1" w:styleId="33">
    <w:name w:val="Enclosure"/>
    <w:basedOn w:val="9"/>
    <w:next w:val="34"/>
    <w:qFormat/>
    <w:uiPriority w:val="0"/>
    <w:pPr>
      <w:keepNext/>
      <w:keepLines/>
      <w:widowControl/>
      <w:overflowPunct w:val="0"/>
      <w:autoSpaceDE w:val="0"/>
      <w:autoSpaceDN w:val="0"/>
      <w:spacing w:after="240" w:line="240" w:lineRule="atLeast"/>
      <w:textAlignment w:val="baseline"/>
    </w:pPr>
    <w:rPr>
      <w:rFonts w:ascii="Garamond" w:hAnsi="Garamond"/>
      <w:kern w:val="18"/>
      <w:sz w:val="20"/>
    </w:rPr>
  </w:style>
  <w:style w:type="paragraph" w:customStyle="1" w:styleId="34">
    <w:name w:val="CC"/>
    <w:basedOn w:val="9"/>
    <w:qFormat/>
    <w:uiPriority w:val="0"/>
    <w:pPr>
      <w:keepLines/>
      <w:widowControl/>
      <w:overflowPunct w:val="0"/>
      <w:autoSpaceDE w:val="0"/>
      <w:autoSpaceDN w:val="0"/>
      <w:spacing w:after="240" w:line="240" w:lineRule="atLeast"/>
      <w:ind w:left="360" w:hanging="360"/>
      <w:jc w:val="left"/>
      <w:textAlignment w:val="baseline"/>
    </w:pPr>
    <w:rPr>
      <w:rFonts w:ascii="Garamond" w:hAnsi="Garamond"/>
      <w:kern w:val="18"/>
      <w:sz w:val="20"/>
    </w:rPr>
  </w:style>
  <w:style w:type="paragraph" w:styleId="35">
    <w:name w:val="List Bullet 3"/>
    <w:basedOn w:val="19"/>
    <w:qFormat/>
    <w:uiPriority w:val="0"/>
    <w:pPr>
      <w:ind w:left="1440"/>
    </w:pPr>
  </w:style>
  <w:style w:type="paragraph" w:styleId="36">
    <w:name w:val="Body Text Indent"/>
    <w:basedOn w:val="1"/>
    <w:qFormat/>
    <w:uiPriority w:val="0"/>
    <w:pPr>
      <w:spacing w:after="120"/>
      <w:ind w:left="420" w:leftChars="200"/>
    </w:pPr>
  </w:style>
  <w:style w:type="paragraph" w:styleId="37">
    <w:name w:val="List Number 3"/>
    <w:basedOn w:val="17"/>
    <w:qFormat/>
    <w:uiPriority w:val="0"/>
    <w:pPr>
      <w:ind w:left="1440"/>
    </w:pPr>
  </w:style>
  <w:style w:type="paragraph" w:styleId="38">
    <w:name w:val="List 2"/>
    <w:basedOn w:val="15"/>
    <w:qFormat/>
    <w:uiPriority w:val="0"/>
    <w:pPr>
      <w:widowControl/>
      <w:overflowPunct w:val="0"/>
      <w:autoSpaceDE w:val="0"/>
      <w:autoSpaceDN w:val="0"/>
      <w:spacing w:after="240" w:line="240" w:lineRule="atLeast"/>
      <w:ind w:left="1080" w:hanging="360"/>
    </w:pPr>
    <w:rPr>
      <w:rFonts w:ascii="Garamond" w:hAnsi="Garamond"/>
      <w:kern w:val="18"/>
      <w:sz w:val="20"/>
    </w:rPr>
  </w:style>
  <w:style w:type="paragraph" w:styleId="39">
    <w:name w:val="List Continue"/>
    <w:basedOn w:val="15"/>
    <w:qFormat/>
    <w:uiPriority w:val="0"/>
    <w:pPr>
      <w:widowControl/>
      <w:overflowPunct w:val="0"/>
      <w:autoSpaceDE w:val="0"/>
      <w:autoSpaceDN w:val="0"/>
      <w:spacing w:after="240" w:line="240" w:lineRule="atLeast"/>
      <w:ind w:left="720" w:right="720" w:firstLine="0"/>
    </w:pPr>
    <w:rPr>
      <w:rFonts w:ascii="Garamond" w:hAnsi="Garamond"/>
      <w:kern w:val="18"/>
      <w:sz w:val="20"/>
    </w:rPr>
  </w:style>
  <w:style w:type="paragraph" w:styleId="40">
    <w:name w:val="Block Text"/>
    <w:basedOn w:val="1"/>
    <w:qFormat/>
    <w:uiPriority w:val="0"/>
    <w:pPr>
      <w:adjustRightInd w:val="0"/>
      <w:spacing w:line="312" w:lineRule="atLeast"/>
      <w:ind w:left="113" w:right="113"/>
      <w:jc w:val="center"/>
      <w:textAlignment w:val="baseline"/>
    </w:pPr>
    <w:rPr>
      <w:rFonts w:eastAsia="隶书"/>
      <w:kern w:val="0"/>
      <w:sz w:val="28"/>
      <w:szCs w:val="20"/>
    </w:rPr>
  </w:style>
  <w:style w:type="paragraph" w:styleId="41">
    <w:name w:val="List Bullet 2"/>
    <w:basedOn w:val="19"/>
    <w:qFormat/>
    <w:uiPriority w:val="0"/>
    <w:pPr>
      <w:ind w:left="1080"/>
    </w:pPr>
  </w:style>
  <w:style w:type="paragraph" w:styleId="42">
    <w:name w:val="toc 3"/>
    <w:basedOn w:val="1"/>
    <w:next w:val="1"/>
    <w:semiHidden/>
    <w:qFormat/>
    <w:uiPriority w:val="0"/>
    <w:pPr>
      <w:ind w:left="840" w:leftChars="400"/>
    </w:pPr>
  </w:style>
  <w:style w:type="paragraph" w:styleId="43">
    <w:name w:val="Plain Text"/>
    <w:basedOn w:val="1"/>
    <w:link w:val="140"/>
    <w:qFormat/>
    <w:uiPriority w:val="0"/>
    <w:rPr>
      <w:rFonts w:ascii="宋体" w:hAnsi="Courier New" w:cs="Courier New"/>
      <w:szCs w:val="21"/>
    </w:rPr>
  </w:style>
  <w:style w:type="paragraph" w:styleId="44">
    <w:name w:val="List Bullet 5"/>
    <w:basedOn w:val="19"/>
    <w:qFormat/>
    <w:uiPriority w:val="0"/>
    <w:pPr>
      <w:ind w:left="2160"/>
    </w:pPr>
  </w:style>
  <w:style w:type="paragraph" w:styleId="45">
    <w:name w:val="List Number 4"/>
    <w:basedOn w:val="17"/>
    <w:qFormat/>
    <w:uiPriority w:val="0"/>
    <w:pPr>
      <w:ind w:left="1800"/>
    </w:pPr>
  </w:style>
  <w:style w:type="paragraph" w:styleId="46">
    <w:name w:val="Date"/>
    <w:basedOn w:val="1"/>
    <w:next w:val="1"/>
    <w:link w:val="135"/>
    <w:qFormat/>
    <w:uiPriority w:val="0"/>
    <w:pPr>
      <w:ind w:left="100" w:leftChars="2500"/>
    </w:pPr>
    <w:rPr>
      <w:b/>
      <w:spacing w:val="40"/>
      <w:sz w:val="44"/>
      <w:szCs w:val="44"/>
    </w:rPr>
  </w:style>
  <w:style w:type="paragraph" w:styleId="47">
    <w:name w:val="Body Text Indent 2"/>
    <w:basedOn w:val="1"/>
    <w:qFormat/>
    <w:uiPriority w:val="0"/>
    <w:pPr>
      <w:spacing w:after="120" w:line="480" w:lineRule="auto"/>
      <w:ind w:left="420" w:leftChars="200"/>
    </w:pPr>
  </w:style>
  <w:style w:type="paragraph" w:styleId="48">
    <w:name w:val="List Continue 5"/>
    <w:basedOn w:val="39"/>
    <w:qFormat/>
    <w:uiPriority w:val="0"/>
    <w:pPr>
      <w:ind w:left="2160"/>
    </w:pPr>
  </w:style>
  <w:style w:type="paragraph" w:styleId="49">
    <w:name w:val="Balloon Text"/>
    <w:basedOn w:val="1"/>
    <w:semiHidden/>
    <w:qFormat/>
    <w:uiPriority w:val="0"/>
    <w:rPr>
      <w:sz w:val="18"/>
      <w:szCs w:val="18"/>
    </w:rPr>
  </w:style>
  <w:style w:type="paragraph" w:styleId="50">
    <w:name w:val="footer"/>
    <w:basedOn w:val="1"/>
    <w:link w:val="147"/>
    <w:qFormat/>
    <w:uiPriority w:val="99"/>
    <w:pPr>
      <w:tabs>
        <w:tab w:val="center" w:pos="4153"/>
        <w:tab w:val="right" w:pos="8306"/>
      </w:tabs>
      <w:snapToGrid w:val="0"/>
      <w:jc w:val="left"/>
    </w:pPr>
    <w:rPr>
      <w:sz w:val="18"/>
      <w:szCs w:val="18"/>
    </w:rPr>
  </w:style>
  <w:style w:type="paragraph" w:styleId="51">
    <w:name w:val="envelope return"/>
    <w:basedOn w:val="9"/>
    <w:qFormat/>
    <w:uiPriority w:val="0"/>
    <w:pPr>
      <w:widowControl/>
      <w:overflowPunct w:val="0"/>
      <w:autoSpaceDE w:val="0"/>
      <w:autoSpaceDN w:val="0"/>
      <w:spacing w:after="0" w:line="240" w:lineRule="atLeast"/>
      <w:jc w:val="left"/>
      <w:textAlignment w:val="baseline"/>
    </w:pPr>
    <w:rPr>
      <w:rFonts w:ascii="Garamond" w:hAnsi="Garamond"/>
      <w:caps/>
      <w:spacing w:val="30"/>
      <w:sz w:val="15"/>
    </w:rPr>
  </w:style>
  <w:style w:type="paragraph" w:styleId="5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3">
    <w:name w:val="toc 1"/>
    <w:basedOn w:val="1"/>
    <w:next w:val="1"/>
    <w:semiHidden/>
    <w:qFormat/>
    <w:uiPriority w:val="0"/>
  </w:style>
  <w:style w:type="paragraph" w:styleId="54">
    <w:name w:val="List Continue 4"/>
    <w:basedOn w:val="39"/>
    <w:qFormat/>
    <w:uiPriority w:val="0"/>
    <w:pPr>
      <w:ind w:left="1800"/>
    </w:pPr>
  </w:style>
  <w:style w:type="paragraph" w:styleId="55">
    <w:name w:val="index heading"/>
    <w:basedOn w:val="1"/>
    <w:next w:val="56"/>
    <w:qFormat/>
    <w:uiPriority w:val="0"/>
  </w:style>
  <w:style w:type="paragraph" w:styleId="56">
    <w:name w:val="index 1"/>
    <w:basedOn w:val="1"/>
    <w:next w:val="1"/>
    <w:qFormat/>
    <w:uiPriority w:val="0"/>
    <w:pPr>
      <w:spacing w:line="240" w:lineRule="auto"/>
      <w:ind w:left="0" w:right="0" w:firstLine="0" w:firstLineChars="0"/>
    </w:pPr>
    <w:rPr>
      <w:rFonts w:ascii="Calibri" w:hAnsi="Calibri" w:cs="Calibri"/>
      <w:szCs w:val="21"/>
    </w:rPr>
  </w:style>
  <w:style w:type="paragraph" w:styleId="57">
    <w:name w:val="List Number 5"/>
    <w:basedOn w:val="17"/>
    <w:qFormat/>
    <w:uiPriority w:val="0"/>
    <w:pPr>
      <w:ind w:left="2160"/>
    </w:pPr>
  </w:style>
  <w:style w:type="paragraph" w:styleId="58">
    <w:name w:val="footnote text"/>
    <w:basedOn w:val="1"/>
    <w:qFormat/>
    <w:uiPriority w:val="99"/>
    <w:pPr>
      <w:adjustRightInd w:val="0"/>
      <w:spacing w:line="312" w:lineRule="atLeast"/>
      <w:jc w:val="left"/>
      <w:textAlignment w:val="baseline"/>
    </w:pPr>
    <w:rPr>
      <w:kern w:val="0"/>
      <w:sz w:val="18"/>
      <w:szCs w:val="20"/>
    </w:rPr>
  </w:style>
  <w:style w:type="paragraph" w:styleId="59">
    <w:name w:val="List 5"/>
    <w:basedOn w:val="15"/>
    <w:qFormat/>
    <w:uiPriority w:val="0"/>
    <w:pPr>
      <w:widowControl/>
      <w:overflowPunct w:val="0"/>
      <w:autoSpaceDE w:val="0"/>
      <w:autoSpaceDN w:val="0"/>
      <w:spacing w:after="240" w:line="240" w:lineRule="atLeast"/>
      <w:ind w:left="2160" w:hanging="360"/>
    </w:pPr>
    <w:rPr>
      <w:rFonts w:ascii="Garamond" w:hAnsi="Garamond"/>
      <w:kern w:val="18"/>
      <w:sz w:val="20"/>
    </w:rPr>
  </w:style>
  <w:style w:type="paragraph" w:styleId="60">
    <w:name w:val="Body Text Indent 3"/>
    <w:basedOn w:val="1"/>
    <w:qFormat/>
    <w:uiPriority w:val="0"/>
    <w:pPr>
      <w:spacing w:after="120"/>
      <w:ind w:left="420" w:leftChars="200"/>
    </w:pPr>
    <w:rPr>
      <w:sz w:val="16"/>
      <w:szCs w:val="16"/>
    </w:rPr>
  </w:style>
  <w:style w:type="paragraph" w:styleId="61">
    <w:name w:val="toc 2"/>
    <w:basedOn w:val="1"/>
    <w:next w:val="1"/>
    <w:semiHidden/>
    <w:qFormat/>
    <w:uiPriority w:val="0"/>
    <w:pPr>
      <w:ind w:left="420" w:leftChars="200"/>
    </w:pPr>
  </w:style>
  <w:style w:type="paragraph" w:styleId="62">
    <w:name w:val="Body Text 2"/>
    <w:basedOn w:val="1"/>
    <w:qFormat/>
    <w:uiPriority w:val="0"/>
    <w:pPr>
      <w:spacing w:after="120" w:line="480" w:lineRule="auto"/>
    </w:pPr>
  </w:style>
  <w:style w:type="paragraph" w:styleId="63">
    <w:name w:val="List 4"/>
    <w:basedOn w:val="15"/>
    <w:qFormat/>
    <w:uiPriority w:val="0"/>
    <w:pPr>
      <w:widowControl/>
      <w:overflowPunct w:val="0"/>
      <w:autoSpaceDE w:val="0"/>
      <w:autoSpaceDN w:val="0"/>
      <w:spacing w:after="240" w:line="240" w:lineRule="atLeast"/>
      <w:ind w:left="1800" w:hanging="360"/>
    </w:pPr>
    <w:rPr>
      <w:rFonts w:ascii="Garamond" w:hAnsi="Garamond"/>
      <w:kern w:val="18"/>
      <w:sz w:val="20"/>
    </w:rPr>
  </w:style>
  <w:style w:type="paragraph" w:styleId="64">
    <w:name w:val="List Continue 2"/>
    <w:basedOn w:val="39"/>
    <w:qFormat/>
    <w:uiPriority w:val="0"/>
    <w:pPr>
      <w:ind w:left="1080"/>
    </w:pPr>
  </w:style>
  <w:style w:type="paragraph" w:styleId="6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66">
    <w:name w:val="List Continue 3"/>
    <w:basedOn w:val="39"/>
    <w:qFormat/>
    <w:uiPriority w:val="0"/>
    <w:pPr>
      <w:ind w:left="1440"/>
    </w:pPr>
  </w:style>
  <w:style w:type="paragraph" w:styleId="67">
    <w:name w:val="annotation subject"/>
    <w:basedOn w:val="24"/>
    <w:next w:val="24"/>
    <w:link w:val="141"/>
    <w:qFormat/>
    <w:uiPriority w:val="0"/>
    <w:rPr>
      <w:b/>
      <w:bCs/>
    </w:rPr>
  </w:style>
  <w:style w:type="paragraph" w:styleId="68">
    <w:name w:val="Body Text First Indent"/>
    <w:basedOn w:val="9"/>
    <w:qFormat/>
    <w:uiPriority w:val="0"/>
    <w:pPr>
      <w:adjustRightInd/>
      <w:spacing w:line="240" w:lineRule="auto"/>
      <w:ind w:firstLine="420" w:firstLineChars="100"/>
    </w:pPr>
    <w:rPr>
      <w:kern w:val="2"/>
      <w:sz w:val="21"/>
      <w:szCs w:val="24"/>
    </w:rPr>
  </w:style>
  <w:style w:type="paragraph" w:styleId="69">
    <w:name w:val="Body Text First Indent 2"/>
    <w:basedOn w:val="36"/>
    <w:qFormat/>
    <w:uiPriority w:val="0"/>
    <w:pPr>
      <w:ind w:firstLine="420" w:firstLineChars="200"/>
    </w:pPr>
  </w:style>
  <w:style w:type="table" w:styleId="71">
    <w:name w:val="Table Grid"/>
    <w:basedOn w:val="7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3">
    <w:name w:val="Strong"/>
    <w:basedOn w:val="72"/>
    <w:qFormat/>
    <w:uiPriority w:val="0"/>
    <w:rPr>
      <w:b/>
    </w:rPr>
  </w:style>
  <w:style w:type="character" w:styleId="74">
    <w:name w:val="page number"/>
    <w:basedOn w:val="72"/>
    <w:qFormat/>
    <w:uiPriority w:val="0"/>
  </w:style>
  <w:style w:type="character" w:styleId="75">
    <w:name w:val="Emphasis"/>
    <w:qFormat/>
    <w:uiPriority w:val="0"/>
    <w:rPr>
      <w:caps/>
      <w:sz w:val="18"/>
    </w:rPr>
  </w:style>
  <w:style w:type="character" w:styleId="76">
    <w:name w:val="line number"/>
    <w:qFormat/>
    <w:uiPriority w:val="0"/>
    <w:rPr>
      <w:rFonts w:ascii="Garamond" w:hAnsi="Garamond"/>
      <w:sz w:val="21"/>
    </w:rPr>
  </w:style>
  <w:style w:type="character" w:styleId="77">
    <w:name w:val="Hyperlink"/>
    <w:qFormat/>
    <w:uiPriority w:val="0"/>
    <w:rPr>
      <w:color w:val="0000FF"/>
      <w:u w:val="single"/>
    </w:rPr>
  </w:style>
  <w:style w:type="character" w:styleId="78">
    <w:name w:val="annotation reference"/>
    <w:qFormat/>
    <w:uiPriority w:val="0"/>
    <w:rPr>
      <w:sz w:val="21"/>
      <w:szCs w:val="21"/>
    </w:rPr>
  </w:style>
  <w:style w:type="paragraph" w:customStyle="1" w:styleId="79">
    <w:name w:val="Char1 Char Char Char Char"/>
    <w:basedOn w:val="1"/>
    <w:qFormat/>
    <w:uiPriority w:val="0"/>
  </w:style>
  <w:style w:type="paragraph" w:customStyle="1" w:styleId="80">
    <w:name w:val="Picture"/>
    <w:basedOn w:val="1"/>
    <w:next w:val="21"/>
    <w:qFormat/>
    <w:uiPriority w:val="0"/>
    <w:pPr>
      <w:keepNext/>
      <w:widowControl/>
      <w:overflowPunct w:val="0"/>
      <w:autoSpaceDE w:val="0"/>
      <w:autoSpaceDN w:val="0"/>
      <w:adjustRightInd w:val="0"/>
      <w:textAlignment w:val="baseline"/>
    </w:pPr>
    <w:rPr>
      <w:rFonts w:ascii="Garamond" w:hAnsi="Garamond"/>
      <w:kern w:val="18"/>
      <w:sz w:val="20"/>
      <w:szCs w:val="20"/>
    </w:rPr>
  </w:style>
  <w:style w:type="paragraph" w:customStyle="1" w:styleId="81">
    <w:name w:val="段"/>
    <w:link w:val="146"/>
    <w:qFormat/>
    <w:uiPriority w:val="0"/>
    <w:pPr>
      <w:autoSpaceDE w:val="0"/>
      <w:autoSpaceDN w:val="0"/>
      <w:spacing w:line="360" w:lineRule="auto"/>
      <w:ind w:left="50" w:right="62" w:firstLine="200" w:firstLineChars="200"/>
      <w:jc w:val="both"/>
    </w:pPr>
    <w:rPr>
      <w:rFonts w:ascii="宋体" w:hAnsi="Times New Roman" w:eastAsia="宋体" w:cs="Times New Roman"/>
      <w:sz w:val="21"/>
      <w:lang w:val="en-US" w:eastAsia="zh-CN" w:bidi="ar-SA"/>
    </w:rPr>
  </w:style>
  <w:style w:type="paragraph" w:customStyle="1" w:styleId="82">
    <w:name w:val="标题 3 + 宋体"/>
    <w:basedOn w:val="4"/>
    <w:qFormat/>
    <w:uiPriority w:val="0"/>
    <w:pPr>
      <w:spacing w:beforeLines="50" w:afterLines="50" w:line="416" w:lineRule="auto"/>
      <w:jc w:val="both"/>
    </w:pPr>
    <w:rPr>
      <w:rFonts w:ascii="宋体" w:hAnsi="宋体" w:cs="Arial"/>
      <w:kern w:val="0"/>
      <w:sz w:val="28"/>
    </w:rPr>
  </w:style>
  <w:style w:type="paragraph" w:customStyle="1" w:styleId="83">
    <w:name w:val="Header First"/>
    <w:basedOn w:val="52"/>
    <w:qFormat/>
    <w:uiPriority w:val="0"/>
    <w:pPr>
      <w:keepLines/>
      <w:widowControl/>
      <w:pBdr>
        <w:bottom w:val="none" w:color="auto" w:sz="0" w:space="0"/>
      </w:pBdr>
      <w:tabs>
        <w:tab w:val="center" w:pos="4320"/>
        <w:tab w:val="right" w:pos="8640"/>
        <w:tab w:val="clear" w:pos="4153"/>
        <w:tab w:val="clear" w:pos="8306"/>
      </w:tabs>
      <w:overflowPunct w:val="0"/>
      <w:autoSpaceDE w:val="0"/>
      <w:autoSpaceDN w:val="0"/>
      <w:adjustRightInd w:val="0"/>
      <w:snapToGrid/>
      <w:spacing w:after="880" w:line="240" w:lineRule="atLeast"/>
      <w:jc w:val="left"/>
      <w:textAlignment w:val="baseline"/>
    </w:pPr>
    <w:rPr>
      <w:rFonts w:ascii="Garamond" w:hAnsi="Garamond"/>
      <w:smallCaps/>
      <w:kern w:val="18"/>
      <w:sz w:val="20"/>
      <w:szCs w:val="20"/>
    </w:rPr>
  </w:style>
  <w:style w:type="paragraph" w:customStyle="1" w:styleId="84">
    <w:name w:val="列出段落21"/>
    <w:basedOn w:val="1"/>
    <w:qFormat/>
    <w:uiPriority w:val="0"/>
    <w:pPr>
      <w:spacing w:line="240" w:lineRule="auto"/>
      <w:ind w:left="0" w:right="0" w:firstLine="420" w:firstLineChars="200"/>
    </w:pPr>
    <w:rPr>
      <w:rFonts w:ascii="Calibri" w:hAnsi="Calibri"/>
      <w:szCs w:val="21"/>
    </w:rPr>
  </w:style>
  <w:style w:type="paragraph" w:customStyle="1" w:styleId="85">
    <w:name w:val="_Style 35"/>
    <w:basedOn w:val="1"/>
    <w:qFormat/>
    <w:uiPriority w:val="0"/>
    <w:pPr>
      <w:widowControl/>
      <w:spacing w:after="160" w:line="240" w:lineRule="exact"/>
      <w:jc w:val="left"/>
    </w:pPr>
    <w:rPr>
      <w:szCs w:val="20"/>
    </w:rPr>
  </w:style>
  <w:style w:type="paragraph" w:customStyle="1" w:styleId="86">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8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8">
    <w:name w:val="Attention Line"/>
    <w:basedOn w:val="1"/>
    <w:next w:val="25"/>
    <w:qFormat/>
    <w:uiPriority w:val="0"/>
    <w:pPr>
      <w:widowControl/>
      <w:spacing w:before="220"/>
      <w:ind w:left="840" w:right="-360"/>
      <w:jc w:val="left"/>
    </w:pPr>
    <w:rPr>
      <w:rFonts w:eastAsia="Times New Roman"/>
      <w:kern w:val="0"/>
      <w:sz w:val="20"/>
      <w:szCs w:val="20"/>
      <w:lang w:eastAsia="en-US"/>
    </w:rPr>
  </w:style>
  <w:style w:type="paragraph" w:customStyle="1" w:styleId="89">
    <w:name w:val="Char2"/>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90">
    <w:name w:val="Block Quotation"/>
    <w:basedOn w:val="9"/>
    <w:qFormat/>
    <w:uiPriority w:val="0"/>
    <w:pPr>
      <w:keepLines/>
      <w:widowControl/>
      <w:overflowPunct w:val="0"/>
      <w:autoSpaceDE w:val="0"/>
      <w:autoSpaceDN w:val="0"/>
      <w:spacing w:after="240" w:line="240" w:lineRule="atLeast"/>
      <w:ind w:left="720" w:right="720" w:firstLine="360"/>
      <w:textAlignment w:val="baseline"/>
    </w:pPr>
    <w:rPr>
      <w:rFonts w:ascii="Garamond" w:hAnsi="Garamond"/>
      <w:kern w:val="18"/>
      <w:sz w:val="20"/>
    </w:rPr>
  </w:style>
  <w:style w:type="paragraph" w:customStyle="1" w:styleId="91">
    <w:name w:val="默认段落字体 Para Char Char Char Char Char Char Char"/>
    <w:basedOn w:val="1"/>
    <w:qFormat/>
    <w:uiPriority w:val="0"/>
    <w:rPr>
      <w:rFonts w:ascii="Tahoma" w:hAnsi="Tahoma"/>
      <w:sz w:val="24"/>
      <w:szCs w:val="20"/>
    </w:rPr>
  </w:style>
  <w:style w:type="paragraph" w:customStyle="1" w:styleId="92">
    <w:name w:val="Company Name"/>
    <w:basedOn w:val="9"/>
    <w:next w:val="9"/>
    <w:qFormat/>
    <w:uiPriority w:val="0"/>
    <w:pPr>
      <w:keepLines/>
      <w:framePr w:w="8640" w:h="1440" w:wrap="notBeside" w:vAnchor="page" w:hAnchor="margin" w:xAlign="center" w:y="889"/>
      <w:widowControl/>
      <w:overflowPunct w:val="0"/>
      <w:autoSpaceDE w:val="0"/>
      <w:autoSpaceDN w:val="0"/>
      <w:spacing w:after="40" w:line="240" w:lineRule="atLeast"/>
      <w:jc w:val="center"/>
      <w:textAlignment w:val="baseline"/>
    </w:pPr>
    <w:rPr>
      <w:rFonts w:ascii="Garamond" w:hAnsi="Garamond"/>
      <w:caps/>
      <w:spacing w:val="75"/>
      <w:kern w:val="18"/>
      <w:sz w:val="21"/>
    </w:rPr>
  </w:style>
  <w:style w:type="paragraph" w:customStyle="1" w:styleId="93">
    <w:name w:val="Char1 Char Char Char Char2"/>
    <w:basedOn w:val="1"/>
    <w:qFormat/>
    <w:uiPriority w:val="0"/>
    <w:pPr>
      <w:spacing w:line="240" w:lineRule="auto"/>
      <w:ind w:left="0" w:right="0" w:firstLine="0" w:firstLineChars="0"/>
    </w:pPr>
    <w:rPr>
      <w:szCs w:val="20"/>
    </w:rPr>
  </w:style>
  <w:style w:type="paragraph" w:customStyle="1" w:styleId="94">
    <w:name w:val="Char Char3"/>
    <w:basedOn w:val="1"/>
    <w:qFormat/>
    <w:uiPriority w:val="0"/>
  </w:style>
  <w:style w:type="paragraph" w:customStyle="1" w:styleId="95">
    <w:name w:val="Char Char1 Char"/>
    <w:basedOn w:val="1"/>
    <w:qFormat/>
    <w:uiPriority w:val="0"/>
  </w:style>
  <w:style w:type="paragraph" w:customStyle="1" w:styleId="96">
    <w:name w:val="标题1"/>
    <w:basedOn w:val="1"/>
    <w:qFormat/>
    <w:uiPriority w:val="0"/>
    <w:pPr>
      <w:widowControl/>
      <w:jc w:val="center"/>
    </w:pPr>
    <w:rPr>
      <w:rFonts w:ascii="黑体" w:eastAsia="黑体"/>
      <w:b/>
      <w:kern w:val="0"/>
      <w:sz w:val="44"/>
      <w:szCs w:val="20"/>
    </w:rPr>
  </w:style>
  <w:style w:type="paragraph" w:customStyle="1" w:styleId="97">
    <w:name w:val="Char Char Char Char Char Char1"/>
    <w:basedOn w:val="1"/>
    <w:qFormat/>
    <w:uiPriority w:val="0"/>
    <w:rPr>
      <w:rFonts w:ascii="Tahoma" w:hAnsi="Tahoma"/>
      <w:sz w:val="24"/>
      <w:szCs w:val="20"/>
    </w:rPr>
  </w:style>
  <w:style w:type="paragraph" w:customStyle="1" w:styleId="98">
    <w:name w:val="Subject Line"/>
    <w:basedOn w:val="9"/>
    <w:next w:val="9"/>
    <w:qFormat/>
    <w:uiPriority w:val="0"/>
    <w:pPr>
      <w:widowControl/>
      <w:overflowPunct w:val="0"/>
      <w:autoSpaceDE w:val="0"/>
      <w:autoSpaceDN w:val="0"/>
      <w:spacing w:after="180" w:line="240" w:lineRule="atLeast"/>
      <w:ind w:left="360" w:hanging="360"/>
      <w:jc w:val="left"/>
      <w:textAlignment w:val="baseline"/>
    </w:pPr>
    <w:rPr>
      <w:rFonts w:ascii="Garamond" w:hAnsi="Garamond"/>
      <w:caps/>
      <w:kern w:val="18"/>
      <w:sz w:val="21"/>
    </w:rPr>
  </w:style>
  <w:style w:type="paragraph" w:customStyle="1" w:styleId="99">
    <w:name w:val="xl31"/>
    <w:basedOn w:val="1"/>
    <w:qFormat/>
    <w:uiPriority w:val="0"/>
    <w:pPr>
      <w:widowControl/>
      <w:spacing w:before="100" w:beforeAutospacing="1" w:after="100" w:afterAutospacing="1"/>
      <w:jc w:val="center"/>
    </w:pPr>
    <w:rPr>
      <w:kern w:val="0"/>
      <w:sz w:val="36"/>
      <w:szCs w:val="36"/>
    </w:rPr>
  </w:style>
  <w:style w:type="paragraph" w:customStyle="1" w:styleId="100">
    <w:name w:val="Char Char Char"/>
    <w:basedOn w:val="1"/>
    <w:qFormat/>
    <w:uiPriority w:val="0"/>
    <w:rPr>
      <w:rFonts w:ascii="Tahoma" w:hAnsi="Tahoma"/>
      <w:sz w:val="24"/>
      <w:szCs w:val="20"/>
    </w:rPr>
  </w:style>
  <w:style w:type="paragraph" w:customStyle="1" w:styleId="101">
    <w:name w:val="Inside Address"/>
    <w:basedOn w:val="9"/>
    <w:qFormat/>
    <w:uiPriority w:val="0"/>
    <w:pPr>
      <w:widowControl/>
      <w:overflowPunct w:val="0"/>
      <w:autoSpaceDE w:val="0"/>
      <w:autoSpaceDN w:val="0"/>
      <w:spacing w:after="0" w:line="240" w:lineRule="atLeast"/>
      <w:jc w:val="left"/>
      <w:textAlignment w:val="baseline"/>
    </w:pPr>
    <w:rPr>
      <w:rFonts w:ascii="Garamond" w:hAnsi="Garamond"/>
      <w:kern w:val="18"/>
      <w:sz w:val="20"/>
    </w:rPr>
  </w:style>
  <w:style w:type="paragraph" w:customStyle="1" w:styleId="102">
    <w:name w:val="Char Char15 Char Char"/>
    <w:basedOn w:val="1"/>
    <w:qFormat/>
    <w:uiPriority w:val="0"/>
    <w:pPr>
      <w:spacing w:line="240" w:lineRule="auto"/>
      <w:ind w:left="0" w:right="0" w:firstLine="0" w:firstLineChars="0"/>
    </w:pPr>
    <w:rPr>
      <w:szCs w:val="20"/>
    </w:rPr>
  </w:style>
  <w:style w:type="paragraph" w:customStyle="1" w:styleId="103">
    <w:name w:val="Char Char Char1"/>
    <w:basedOn w:val="1"/>
    <w:qFormat/>
    <w:uiPriority w:val="0"/>
    <w:rPr>
      <w:rFonts w:ascii="Tahoma" w:hAnsi="Tahoma"/>
      <w:sz w:val="24"/>
      <w:szCs w:val="20"/>
    </w:rPr>
  </w:style>
  <w:style w:type="paragraph" w:customStyle="1" w:styleId="104">
    <w:name w:val="Char Char1 Char Char Char Char Char Char Char Char Char Char"/>
    <w:basedOn w:val="1"/>
    <w:qFormat/>
    <w:uiPriority w:val="0"/>
    <w:rPr>
      <w:rFonts w:ascii="Tahoma" w:hAnsi="Tahoma"/>
      <w:sz w:val="24"/>
      <w:szCs w:val="20"/>
    </w:rPr>
  </w:style>
  <w:style w:type="paragraph" w:customStyle="1" w:styleId="105">
    <w:name w:val="Return Address"/>
    <w:qFormat/>
    <w:uiPriority w:val="0"/>
    <w:pPr>
      <w:tabs>
        <w:tab w:val="left" w:pos="2160"/>
      </w:tabs>
      <w:overflowPunct w:val="0"/>
      <w:autoSpaceDE w:val="0"/>
      <w:autoSpaceDN w:val="0"/>
      <w:adjustRightInd w:val="0"/>
      <w:spacing w:line="240" w:lineRule="atLeast"/>
      <w:ind w:left="50" w:right="-240" w:hanging="50" w:hangingChars="50"/>
      <w:jc w:val="center"/>
      <w:textAlignment w:val="baseline"/>
    </w:pPr>
    <w:rPr>
      <w:rFonts w:ascii="Garamond" w:hAnsi="Garamond" w:eastAsia="宋体" w:cs="Times New Roman"/>
      <w:caps/>
      <w:spacing w:val="30"/>
      <w:sz w:val="14"/>
      <w:lang w:val="en-US" w:eastAsia="zh-CN" w:bidi="ar-SA"/>
    </w:rPr>
  </w:style>
  <w:style w:type="paragraph" w:customStyle="1" w:styleId="106">
    <w:name w:val="表格文字"/>
    <w:basedOn w:val="1"/>
    <w:qFormat/>
    <w:uiPriority w:val="0"/>
    <w:pPr>
      <w:spacing w:before="25" w:after="25" w:line="300" w:lineRule="auto"/>
    </w:pPr>
    <w:rPr>
      <w:rFonts w:ascii="Times" w:hAnsi="Times"/>
      <w:spacing w:val="10"/>
      <w:kern w:val="0"/>
      <w:sz w:val="24"/>
      <w:szCs w:val="20"/>
    </w:rPr>
  </w:style>
  <w:style w:type="paragraph" w:customStyle="1" w:styleId="107">
    <w:name w:val="Footnote Base"/>
    <w:basedOn w:val="9"/>
    <w:qFormat/>
    <w:uiPriority w:val="0"/>
    <w:pPr>
      <w:keepLines/>
      <w:widowControl/>
      <w:overflowPunct w:val="0"/>
      <w:autoSpaceDE w:val="0"/>
      <w:autoSpaceDN w:val="0"/>
      <w:spacing w:after="240" w:line="240" w:lineRule="atLeast"/>
      <w:textAlignment w:val="baseline"/>
    </w:pPr>
    <w:rPr>
      <w:rFonts w:ascii="Garamond" w:hAnsi="Garamond"/>
      <w:kern w:val="18"/>
      <w:sz w:val="16"/>
    </w:rPr>
  </w:style>
  <w:style w:type="paragraph" w:customStyle="1" w:styleId="108">
    <w:name w:val="Char1 Char Char Char Char1"/>
    <w:basedOn w:val="1"/>
    <w:qFormat/>
    <w:uiPriority w:val="0"/>
    <w:pPr>
      <w:widowControl/>
      <w:spacing w:after="160" w:line="240" w:lineRule="exact"/>
      <w:jc w:val="left"/>
    </w:pPr>
    <w:rPr>
      <w:szCs w:val="20"/>
    </w:rPr>
  </w:style>
  <w:style w:type="paragraph" w:customStyle="1" w:styleId="109">
    <w:name w:val="Char1 Char Char Char1"/>
    <w:basedOn w:val="1"/>
    <w:qFormat/>
    <w:uiPriority w:val="0"/>
    <w:pPr>
      <w:widowControl/>
      <w:spacing w:after="160" w:line="240" w:lineRule="exact"/>
      <w:jc w:val="left"/>
    </w:pPr>
    <w:rPr>
      <w:rFonts w:ascii="Verdana" w:hAnsi="Verdana" w:eastAsia="仿宋_GB2312"/>
      <w:kern w:val="0"/>
      <w:sz w:val="28"/>
      <w:szCs w:val="20"/>
      <w:lang w:eastAsia="en-US"/>
    </w:rPr>
  </w:style>
  <w:style w:type="paragraph" w:customStyle="1" w:styleId="110">
    <w:name w:val="Char Char Char Char Char Char"/>
    <w:basedOn w:val="1"/>
    <w:qFormat/>
    <w:uiPriority w:val="0"/>
    <w:rPr>
      <w:rFonts w:ascii="Tahoma" w:hAnsi="Tahoma"/>
      <w:sz w:val="24"/>
      <w:szCs w:val="20"/>
    </w:rPr>
  </w:style>
  <w:style w:type="paragraph" w:customStyle="1" w:styleId="111">
    <w:name w:val="p0"/>
    <w:basedOn w:val="1"/>
    <w:qFormat/>
    <w:uiPriority w:val="0"/>
    <w:pPr>
      <w:widowControl/>
    </w:pPr>
    <w:rPr>
      <w:kern w:val="0"/>
      <w:szCs w:val="21"/>
    </w:rPr>
  </w:style>
  <w:style w:type="paragraph" w:customStyle="1" w:styleId="112">
    <w:name w:val="Char Char7"/>
    <w:basedOn w:val="1"/>
    <w:qFormat/>
    <w:uiPriority w:val="0"/>
    <w:pPr>
      <w:spacing w:line="240" w:lineRule="auto"/>
      <w:ind w:left="0" w:right="0" w:firstLine="0" w:firstLineChars="0"/>
    </w:pPr>
  </w:style>
  <w:style w:type="paragraph" w:customStyle="1" w:styleId="113">
    <w:name w:val="Char1 Char Char"/>
    <w:basedOn w:val="1"/>
    <w:qFormat/>
    <w:uiPriority w:val="0"/>
    <w:pPr>
      <w:widowControl/>
      <w:spacing w:after="160" w:line="240" w:lineRule="exact"/>
      <w:ind w:left="0" w:right="0" w:firstLine="0" w:firstLineChars="0"/>
      <w:jc w:val="left"/>
    </w:pPr>
    <w:rPr>
      <w:szCs w:val="20"/>
    </w:rPr>
  </w:style>
  <w:style w:type="paragraph" w:customStyle="1" w:styleId="114">
    <w:name w:val="Char Char Char Char"/>
    <w:basedOn w:val="1"/>
    <w:qFormat/>
    <w:uiPriority w:val="0"/>
    <w:rPr>
      <w:szCs w:val="20"/>
    </w:rPr>
  </w:style>
  <w:style w:type="paragraph" w:customStyle="1" w:styleId="115">
    <w:name w:val="Char1 Char Char Char Char3"/>
    <w:basedOn w:val="1"/>
    <w:qFormat/>
    <w:uiPriority w:val="0"/>
    <w:rPr>
      <w:szCs w:val="20"/>
    </w:rPr>
  </w:style>
  <w:style w:type="paragraph" w:customStyle="1" w:styleId="116">
    <w:name w:val="列出段落1"/>
    <w:basedOn w:val="1"/>
    <w:qFormat/>
    <w:uiPriority w:val="0"/>
    <w:pPr>
      <w:ind w:firstLine="420" w:firstLineChars="200"/>
    </w:pPr>
    <w:rPr>
      <w:rFonts w:ascii="Calibri" w:hAnsi="Calibri"/>
      <w:szCs w:val="22"/>
    </w:rPr>
  </w:style>
  <w:style w:type="paragraph" w:customStyle="1" w:styleId="117">
    <w:name w:val="Header Odd"/>
    <w:basedOn w:val="52"/>
    <w:qFormat/>
    <w:uiPriority w:val="0"/>
    <w:pPr>
      <w:keepLines/>
      <w:widowControl/>
      <w:pBdr>
        <w:bottom w:val="none" w:color="auto" w:sz="0" w:space="0"/>
      </w:pBdr>
      <w:tabs>
        <w:tab w:val="center" w:pos="4320"/>
        <w:tab w:val="right" w:pos="8640"/>
        <w:tab w:val="clear" w:pos="4153"/>
        <w:tab w:val="clear" w:pos="8306"/>
      </w:tabs>
      <w:overflowPunct w:val="0"/>
      <w:autoSpaceDE w:val="0"/>
      <w:autoSpaceDN w:val="0"/>
      <w:adjustRightInd w:val="0"/>
      <w:snapToGrid/>
      <w:spacing w:after="660" w:line="240" w:lineRule="atLeast"/>
      <w:jc w:val="left"/>
      <w:textAlignment w:val="baseline"/>
    </w:pPr>
    <w:rPr>
      <w:rFonts w:ascii="Garamond" w:hAnsi="Garamond"/>
      <w:smallCaps/>
      <w:kern w:val="18"/>
      <w:sz w:val="20"/>
      <w:szCs w:val="20"/>
    </w:rPr>
  </w:style>
  <w:style w:type="paragraph" w:customStyle="1" w:styleId="118">
    <w:name w:val="Char Char8 Char Char"/>
    <w:basedOn w:val="1"/>
    <w:qFormat/>
    <w:uiPriority w:val="0"/>
    <w:pPr>
      <w:widowControl/>
      <w:spacing w:after="160" w:line="240" w:lineRule="exact"/>
      <w:jc w:val="left"/>
    </w:pPr>
    <w:rPr>
      <w:szCs w:val="20"/>
    </w:rPr>
  </w:style>
  <w:style w:type="paragraph" w:customStyle="1" w:styleId="119">
    <w:name w:val="Thyssen Standard"/>
    <w:basedOn w:val="1"/>
    <w:qFormat/>
    <w:uiPriority w:val="0"/>
    <w:pPr>
      <w:widowControl/>
      <w:spacing w:before="120" w:after="120" w:line="300" w:lineRule="atLeast"/>
    </w:pPr>
    <w:rPr>
      <w:rFonts w:ascii="TKTypeRegular" w:hAnsi="TKTypeRegular" w:eastAsia="Times New Roman"/>
      <w:kern w:val="0"/>
      <w:sz w:val="22"/>
      <w:szCs w:val="20"/>
      <w:lang w:eastAsia="en-US"/>
    </w:rPr>
  </w:style>
  <w:style w:type="paragraph" w:customStyle="1" w:styleId="120">
    <w:name w:val="Header Even"/>
    <w:basedOn w:val="52"/>
    <w:qFormat/>
    <w:uiPriority w:val="0"/>
    <w:pPr>
      <w:keepLines/>
      <w:widowControl/>
      <w:pBdr>
        <w:bottom w:val="none" w:color="auto" w:sz="0" w:space="0"/>
      </w:pBdr>
      <w:tabs>
        <w:tab w:val="center" w:pos="4320"/>
        <w:tab w:val="right" w:pos="8640"/>
        <w:tab w:val="clear" w:pos="4153"/>
        <w:tab w:val="clear" w:pos="8306"/>
      </w:tabs>
      <w:overflowPunct w:val="0"/>
      <w:autoSpaceDE w:val="0"/>
      <w:autoSpaceDN w:val="0"/>
      <w:adjustRightInd w:val="0"/>
      <w:snapToGrid/>
      <w:spacing w:after="660" w:line="240" w:lineRule="atLeast"/>
      <w:jc w:val="left"/>
      <w:textAlignment w:val="baseline"/>
    </w:pPr>
    <w:rPr>
      <w:rFonts w:ascii="Garamond" w:hAnsi="Garamond"/>
      <w:smallCaps/>
      <w:kern w:val="18"/>
      <w:sz w:val="20"/>
      <w:szCs w:val="20"/>
    </w:rPr>
  </w:style>
  <w:style w:type="paragraph" w:customStyle="1" w:styleId="12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22">
    <w:name w:val="Header Base"/>
    <w:basedOn w:val="9"/>
    <w:qFormat/>
    <w:uiPriority w:val="0"/>
    <w:pPr>
      <w:keepLines/>
      <w:widowControl/>
      <w:tabs>
        <w:tab w:val="center" w:pos="4320"/>
        <w:tab w:val="right" w:pos="8640"/>
      </w:tabs>
      <w:overflowPunct w:val="0"/>
      <w:autoSpaceDE w:val="0"/>
      <w:autoSpaceDN w:val="0"/>
      <w:spacing w:after="0" w:line="240" w:lineRule="atLeast"/>
      <w:jc w:val="left"/>
      <w:textAlignment w:val="baseline"/>
    </w:pPr>
    <w:rPr>
      <w:rFonts w:ascii="Garamond" w:hAnsi="Garamond"/>
      <w:kern w:val="18"/>
      <w:sz w:val="20"/>
    </w:rPr>
  </w:style>
  <w:style w:type="paragraph" w:customStyle="1" w:styleId="123">
    <w:name w:val="Body Text Keep"/>
    <w:basedOn w:val="9"/>
    <w:qFormat/>
    <w:uiPriority w:val="0"/>
    <w:pPr>
      <w:keepNext/>
      <w:widowControl/>
      <w:overflowPunct w:val="0"/>
      <w:autoSpaceDE w:val="0"/>
      <w:autoSpaceDN w:val="0"/>
      <w:spacing w:after="240" w:line="240" w:lineRule="atLeast"/>
      <w:ind w:firstLine="360"/>
      <w:textAlignment w:val="baseline"/>
    </w:pPr>
    <w:rPr>
      <w:rFonts w:ascii="Garamond" w:hAnsi="Garamond"/>
      <w:kern w:val="18"/>
      <w:sz w:val="20"/>
    </w:rPr>
  </w:style>
  <w:style w:type="paragraph" w:customStyle="1" w:styleId="124">
    <w:name w:val="Char"/>
    <w:basedOn w:val="1"/>
    <w:qFormat/>
    <w:uiPriority w:val="0"/>
    <w:rPr>
      <w:rFonts w:ascii="Tahoma" w:hAnsi="Tahoma"/>
      <w:sz w:val="24"/>
      <w:szCs w:val="20"/>
    </w:rPr>
  </w:style>
  <w:style w:type="paragraph" w:customStyle="1" w:styleId="125">
    <w:name w:val="Char1"/>
    <w:basedOn w:val="1"/>
    <w:qFormat/>
    <w:uiPriority w:val="0"/>
    <w:rPr>
      <w:rFonts w:ascii="Tahoma" w:hAnsi="Tahoma"/>
      <w:sz w:val="24"/>
      <w:szCs w:val="20"/>
    </w:rPr>
  </w:style>
  <w:style w:type="paragraph" w:customStyle="1" w:styleId="126">
    <w:name w:val="正文格式"/>
    <w:basedOn w:val="1"/>
    <w:qFormat/>
    <w:uiPriority w:val="0"/>
    <w:pPr>
      <w:ind w:firstLine="420" w:firstLineChars="200"/>
    </w:pPr>
    <w:rPr>
      <w:sz w:val="28"/>
      <w:szCs w:val="20"/>
    </w:rPr>
  </w:style>
  <w:style w:type="paragraph" w:customStyle="1" w:styleId="127">
    <w:name w:val="WW-正文缩进"/>
    <w:basedOn w:val="1"/>
    <w:qFormat/>
    <w:uiPriority w:val="0"/>
    <w:pPr>
      <w:suppressAutoHyphens/>
      <w:autoSpaceDE w:val="0"/>
      <w:ind w:firstLine="420"/>
      <w:jc w:val="left"/>
      <w:textAlignment w:val="baseline"/>
    </w:pPr>
    <w:rPr>
      <w:rFonts w:ascii="宋体" w:hAnsi="宋体"/>
      <w:kern w:val="1"/>
      <w:sz w:val="34"/>
      <w:szCs w:val="20"/>
      <w:lang w:eastAsia="ar-SA"/>
    </w:rPr>
  </w:style>
  <w:style w:type="paragraph" w:customStyle="1" w:styleId="128">
    <w:name w:val="题注5"/>
    <w:basedOn w:val="1"/>
    <w:next w:val="21"/>
    <w:qFormat/>
    <w:uiPriority w:val="0"/>
    <w:pPr>
      <w:numPr>
        <w:ilvl w:val="0"/>
        <w:numId w:val="3"/>
      </w:numPr>
      <w:tabs>
        <w:tab w:val="left" w:pos="540"/>
        <w:tab w:val="clear" w:pos="420"/>
      </w:tabs>
      <w:ind w:left="540" w:right="0" w:hanging="540" w:hangingChars="225"/>
    </w:pPr>
    <w:rPr>
      <w:rFonts w:ascii="宋体" w:hAnsi="宋体"/>
      <w:color w:val="000000"/>
      <w:sz w:val="24"/>
    </w:rPr>
  </w:style>
  <w:style w:type="paragraph" w:customStyle="1" w:styleId="129">
    <w:name w:val="题注4"/>
    <w:basedOn w:val="1"/>
    <w:next w:val="21"/>
    <w:qFormat/>
    <w:uiPriority w:val="0"/>
    <w:pPr>
      <w:ind w:left="-132" w:leftChars="-64" w:right="-50" w:rightChars="-50" w:hanging="2"/>
      <w:jc w:val="center"/>
    </w:pPr>
    <w:rPr>
      <w:b/>
      <w:color w:val="FF0000"/>
    </w:rPr>
  </w:style>
  <w:style w:type="character" w:customStyle="1" w:styleId="130">
    <w:name w:val="Superscript"/>
    <w:qFormat/>
    <w:uiPriority w:val="0"/>
    <w:rPr>
      <w:vertAlign w:val="superscript"/>
    </w:rPr>
  </w:style>
  <w:style w:type="character" w:customStyle="1" w:styleId="131">
    <w:name w:val="font41"/>
    <w:qFormat/>
    <w:uiPriority w:val="0"/>
    <w:rPr>
      <w:rFonts w:hint="default" w:ascii="Times New Roman" w:hAnsi="Times New Roman" w:cs="Times New Roman"/>
      <w:color w:val="000000"/>
      <w:sz w:val="24"/>
      <w:szCs w:val="24"/>
      <w:u w:val="none"/>
    </w:rPr>
  </w:style>
  <w:style w:type="character" w:customStyle="1" w:styleId="132">
    <w:name w:val="批注文字 Char"/>
    <w:link w:val="24"/>
    <w:qFormat/>
    <w:uiPriority w:val="0"/>
    <w:rPr>
      <w:kern w:val="2"/>
      <w:sz w:val="21"/>
      <w:szCs w:val="24"/>
    </w:rPr>
  </w:style>
  <w:style w:type="character" w:customStyle="1" w:styleId="133">
    <w:name w:val="正文缩进 Char"/>
    <w:link w:val="20"/>
    <w:qFormat/>
    <w:locked/>
    <w:uiPriority w:val="0"/>
    <w:rPr>
      <w:rFonts w:eastAsia="宋体"/>
      <w:kern w:val="2"/>
      <w:sz w:val="24"/>
      <w:lang w:val="en-US" w:eastAsia="zh-CN" w:bidi="ar-SA"/>
    </w:rPr>
  </w:style>
  <w:style w:type="character" w:customStyle="1" w:styleId="134">
    <w:name w:val="font81"/>
    <w:qFormat/>
    <w:uiPriority w:val="0"/>
    <w:rPr>
      <w:rFonts w:hint="eastAsia" w:ascii="宋体" w:hAnsi="宋体" w:eastAsia="宋体"/>
      <w:color w:val="000000"/>
      <w:sz w:val="22"/>
      <w:szCs w:val="22"/>
      <w:u w:val="none"/>
    </w:rPr>
  </w:style>
  <w:style w:type="character" w:customStyle="1" w:styleId="135">
    <w:name w:val="日期 Char"/>
    <w:link w:val="46"/>
    <w:qFormat/>
    <w:uiPriority w:val="0"/>
    <w:rPr>
      <w:rFonts w:eastAsia="宋体"/>
      <w:b/>
      <w:spacing w:val="40"/>
      <w:kern w:val="2"/>
      <w:sz w:val="44"/>
      <w:szCs w:val="44"/>
      <w:lang w:val="en-US" w:eastAsia="zh-CN" w:bidi="ar-SA"/>
    </w:rPr>
  </w:style>
  <w:style w:type="character" w:customStyle="1" w:styleId="136">
    <w:name w:val="正文缩进1 Char1"/>
    <w:qFormat/>
    <w:locked/>
    <w:uiPriority w:val="0"/>
    <w:rPr>
      <w:rFonts w:eastAsia="宋体"/>
      <w:sz w:val="21"/>
      <w:lang w:val="en-US" w:eastAsia="zh-CN" w:bidi="ar-SA"/>
    </w:rPr>
  </w:style>
  <w:style w:type="character" w:customStyle="1" w:styleId="137">
    <w:name w:val="font61"/>
    <w:qFormat/>
    <w:uiPriority w:val="0"/>
    <w:rPr>
      <w:rFonts w:hint="eastAsia" w:ascii="宋体" w:hAnsi="宋体" w:eastAsia="宋体"/>
      <w:color w:val="000000"/>
      <w:sz w:val="18"/>
      <w:szCs w:val="18"/>
      <w:u w:val="none"/>
      <w:vertAlign w:val="superscript"/>
    </w:rPr>
  </w:style>
  <w:style w:type="character" w:customStyle="1" w:styleId="138">
    <w:name w:val="普通文字 Char1"/>
    <w:qFormat/>
    <w:uiPriority w:val="0"/>
    <w:rPr>
      <w:rFonts w:ascii="宋体" w:hAnsi="Courier New" w:eastAsia="宋体"/>
      <w:kern w:val="2"/>
      <w:sz w:val="21"/>
      <w:lang w:val="en-US" w:eastAsia="zh-CN" w:bidi="ar-SA"/>
    </w:rPr>
  </w:style>
  <w:style w:type="character" w:customStyle="1" w:styleId="139">
    <w:name w:val="普通文字 Char Char Char"/>
    <w:qFormat/>
    <w:uiPriority w:val="0"/>
    <w:rPr>
      <w:rFonts w:ascii="宋体" w:hAnsi="Courier New" w:eastAsia="宋体"/>
      <w:kern w:val="2"/>
      <w:sz w:val="21"/>
      <w:lang w:val="en-US" w:eastAsia="zh-CN" w:bidi="ar-SA"/>
    </w:rPr>
  </w:style>
  <w:style w:type="character" w:customStyle="1" w:styleId="140">
    <w:name w:val="纯文本 Char1"/>
    <w:link w:val="43"/>
    <w:qFormat/>
    <w:uiPriority w:val="0"/>
    <w:rPr>
      <w:rFonts w:ascii="宋体" w:hAnsi="Courier New" w:eastAsia="宋体" w:cs="Courier New"/>
      <w:kern w:val="2"/>
      <w:sz w:val="21"/>
      <w:szCs w:val="21"/>
      <w:lang w:val="en-US" w:eastAsia="zh-CN" w:bidi="ar-SA"/>
    </w:rPr>
  </w:style>
  <w:style w:type="character" w:customStyle="1" w:styleId="141">
    <w:name w:val="批注主题 Char"/>
    <w:link w:val="67"/>
    <w:qFormat/>
    <w:uiPriority w:val="0"/>
    <w:rPr>
      <w:b/>
      <w:bCs/>
      <w:kern w:val="2"/>
      <w:sz w:val="21"/>
      <w:szCs w:val="24"/>
    </w:rPr>
  </w:style>
  <w:style w:type="character" w:customStyle="1" w:styleId="142">
    <w:name w:val="font71"/>
    <w:qFormat/>
    <w:uiPriority w:val="0"/>
    <w:rPr>
      <w:rFonts w:hint="default" w:ascii="Times New Roman" w:hAnsi="Times New Roman" w:cs="Times New Roman"/>
      <w:color w:val="000000"/>
      <w:sz w:val="24"/>
      <w:szCs w:val="24"/>
      <w:u w:val="none"/>
    </w:rPr>
  </w:style>
  <w:style w:type="character" w:customStyle="1" w:styleId="143">
    <w:name w:val="纯文本 Char"/>
    <w:qFormat/>
    <w:uiPriority w:val="0"/>
    <w:rPr>
      <w:rFonts w:ascii="宋体" w:hAnsi="Courier New" w:eastAsia="宋体" w:cs="Courier New"/>
      <w:kern w:val="2"/>
      <w:sz w:val="21"/>
      <w:szCs w:val="21"/>
      <w:lang w:val="en-US" w:eastAsia="zh-CN" w:bidi="ar-SA"/>
    </w:rPr>
  </w:style>
  <w:style w:type="character" w:customStyle="1" w:styleId="144">
    <w:name w:val="Lead-in Emphasis"/>
    <w:qFormat/>
    <w:uiPriority w:val="0"/>
    <w:rPr>
      <w:caps/>
      <w:sz w:val="18"/>
    </w:rPr>
  </w:style>
  <w:style w:type="character" w:customStyle="1" w:styleId="145">
    <w:name w:val="纯文本 Char Char Char"/>
    <w:qFormat/>
    <w:uiPriority w:val="0"/>
    <w:rPr>
      <w:rFonts w:ascii="宋体" w:hAnsi="Courier New" w:eastAsia="仿宋_GB2312"/>
      <w:kern w:val="2"/>
      <w:sz w:val="30"/>
      <w:lang w:val="en-US" w:eastAsia="zh-CN" w:bidi="ar-SA"/>
    </w:rPr>
  </w:style>
  <w:style w:type="character" w:customStyle="1" w:styleId="146">
    <w:name w:val="段 Char"/>
    <w:link w:val="81"/>
    <w:qFormat/>
    <w:uiPriority w:val="0"/>
    <w:rPr>
      <w:rFonts w:ascii="宋体"/>
      <w:sz w:val="21"/>
      <w:lang w:val="en-US" w:eastAsia="zh-CN" w:bidi="ar-SA"/>
    </w:rPr>
  </w:style>
  <w:style w:type="character" w:customStyle="1" w:styleId="147">
    <w:name w:val="页脚 Char"/>
    <w:link w:val="50"/>
    <w:qFormat/>
    <w:uiPriority w:val="99"/>
    <w:rPr>
      <w:kern w:val="2"/>
      <w:sz w:val="18"/>
      <w:szCs w:val="18"/>
    </w:rPr>
  </w:style>
  <w:style w:type="character" w:customStyle="1" w:styleId="148">
    <w:name w:val="Slogan"/>
    <w:qFormat/>
    <w:uiPriority w:val="0"/>
    <w:rPr>
      <w:i/>
      <w:spacing w:val="70"/>
    </w:rPr>
  </w:style>
  <w:style w:type="character" w:customStyle="1" w:styleId="149">
    <w:name w:val="font21"/>
    <w:qFormat/>
    <w:uiPriority w:val="0"/>
    <w:rPr>
      <w:rFonts w:hint="eastAsia" w:ascii="宋体" w:hAnsi="宋体" w:eastAsia="宋体"/>
      <w:color w:val="000000"/>
      <w:sz w:val="24"/>
      <w:szCs w:val="24"/>
      <w:u w:val="none"/>
    </w:rPr>
  </w:style>
  <w:style w:type="character" w:customStyle="1" w:styleId="150">
    <w:name w:val="font91"/>
    <w:qFormat/>
    <w:uiPriority w:val="0"/>
    <w:rPr>
      <w:rFonts w:hint="eastAsia" w:ascii="宋体" w:hAnsi="宋体" w:eastAsia="宋体"/>
      <w:color w:val="000000"/>
      <w:sz w:val="18"/>
      <w:szCs w:val="18"/>
      <w:u w:val="none"/>
    </w:rPr>
  </w:style>
  <w:style w:type="character" w:customStyle="1" w:styleId="151">
    <w:name w:val="font01"/>
    <w:qFormat/>
    <w:uiPriority w:val="0"/>
    <w:rPr>
      <w:rFonts w:hint="eastAsia" w:ascii="宋体" w:hAnsi="宋体" w:eastAsia="宋体"/>
      <w:color w:val="000000"/>
      <w:sz w:val="24"/>
      <w:szCs w:val="24"/>
      <w:u w:val="none"/>
    </w:rPr>
  </w:style>
  <w:style w:type="character" w:customStyle="1" w:styleId="152">
    <w:name w:val="font51"/>
    <w:qFormat/>
    <w:uiPriority w:val="0"/>
    <w:rPr>
      <w:rFonts w:hint="eastAsia" w:ascii="宋体" w:hAnsi="宋体" w:eastAsia="宋体"/>
      <w:color w:val="000000"/>
      <w:sz w:val="18"/>
      <w:szCs w:val="18"/>
      <w:u w:val="none"/>
    </w:rPr>
  </w:style>
  <w:style w:type="character" w:customStyle="1" w:styleId="153">
    <w:name w:val="font11"/>
    <w:basedOn w:val="72"/>
    <w:qFormat/>
    <w:uiPriority w:val="0"/>
    <w:rPr>
      <w:rFonts w:hint="eastAsia" w:ascii="宋体" w:hAnsi="宋体" w:eastAsia="宋体" w:cs="宋体"/>
      <w:color w:val="000000"/>
      <w:sz w:val="20"/>
      <w:szCs w:val="20"/>
      <w:u w:val="none"/>
    </w:rPr>
  </w:style>
  <w:style w:type="paragraph" w:customStyle="1" w:styleId="154">
    <w:name w:val="Default Text"/>
    <w:link w:val="16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55">
    <w:name w:val="样式1"/>
    <w:basedOn w:val="1"/>
    <w:qFormat/>
    <w:uiPriority w:val="0"/>
    <w:pPr>
      <w:tabs>
        <w:tab w:val="left" w:pos="709"/>
      </w:tabs>
      <w:spacing w:line="240" w:lineRule="auto"/>
      <w:ind w:left="709" w:hanging="709"/>
    </w:pPr>
    <w:rPr>
      <w:rFonts w:ascii="宋体" w:hAnsi="宋体"/>
      <w:szCs w:val="21"/>
    </w:rPr>
  </w:style>
  <w:style w:type="character" w:customStyle="1" w:styleId="156">
    <w:name w:val="NormalCharacter"/>
    <w:semiHidden/>
    <w:qFormat/>
    <w:uiPriority w:val="0"/>
    <w:rPr>
      <w:rFonts w:ascii="Times New Roman" w:hAnsi="Times New Roman" w:eastAsia="宋体" w:cs="Times New Roman"/>
      <w:kern w:val="2"/>
      <w:sz w:val="21"/>
      <w:szCs w:val="24"/>
      <w:lang w:val="en-US" w:eastAsia="zh-CN" w:bidi="ar-SA"/>
    </w:rPr>
  </w:style>
  <w:style w:type="paragraph" w:customStyle="1" w:styleId="157">
    <w:name w:val="子标题"/>
    <w:basedOn w:val="1"/>
    <w:qFormat/>
    <w:uiPriority w:val="0"/>
    <w:pPr>
      <w:ind w:firstLine="200" w:firstLineChars="200"/>
      <w:jc w:val="center"/>
    </w:pPr>
    <w:rPr>
      <w:rFonts w:eastAsia="新宋体"/>
      <w:sz w:val="28"/>
    </w:rPr>
  </w:style>
  <w:style w:type="paragraph" w:customStyle="1" w:styleId="158">
    <w:name w:val="缺省文本"/>
    <w:qFormat/>
    <w:uiPriority w:val="0"/>
    <w:pPr>
      <w:widowControl w:val="0"/>
      <w:autoSpaceDE w:val="0"/>
      <w:autoSpaceDN w:val="0"/>
      <w:adjustRightInd w:val="0"/>
    </w:pPr>
    <w:rPr>
      <w:rFonts w:ascii="Calibri" w:hAnsi="Calibri" w:eastAsia="宋体" w:cs="Times New Roman"/>
      <w:color w:val="000000"/>
      <w:sz w:val="24"/>
      <w:lang w:val="en-US" w:eastAsia="zh-CN" w:bidi="ar-SA"/>
    </w:rPr>
  </w:style>
  <w:style w:type="paragraph" w:styleId="159">
    <w:name w:val="List Paragraph"/>
    <w:basedOn w:val="1"/>
    <w:unhideWhenUsed/>
    <w:qFormat/>
    <w:uiPriority w:val="99"/>
    <w:pPr>
      <w:ind w:firstLine="420" w:firstLineChars="200"/>
    </w:pPr>
  </w:style>
  <w:style w:type="character" w:customStyle="1" w:styleId="160">
    <w:name w:val="Default Text Char Char"/>
    <w:link w:val="154"/>
    <w:qFormat/>
    <w:uiPriority w:val="0"/>
    <w:rPr>
      <w:rFonts w:ascii="Times New Roman" w:hAnsi="Times New Roman"/>
      <w:color w:val="000000"/>
      <w:sz w:val="24"/>
      <w:szCs w:val="24"/>
    </w:rPr>
  </w:style>
  <w:style w:type="character" w:customStyle="1" w:styleId="161">
    <w:name w:val="标题 1 Char"/>
    <w:link w:val="3"/>
    <w:qFormat/>
    <w:uiPriority w:val="0"/>
    <w:rPr>
      <w:rFonts w:ascii="Times New Roman" w:hAnsi="Times New Roman"/>
      <w:b/>
      <w:kern w:val="44"/>
      <w:sz w:val="32"/>
    </w:rPr>
  </w:style>
  <w:style w:type="paragraph" w:customStyle="1" w:styleId="162">
    <w:name w:val="Body text|1"/>
    <w:basedOn w:val="1"/>
    <w:qFormat/>
    <w:uiPriority w:val="0"/>
    <w:pPr>
      <w:widowControl w:val="0"/>
      <w:shd w:val="clear" w:color="auto" w:fill="auto"/>
      <w:spacing w:line="473" w:lineRule="auto"/>
      <w:ind w:firstLine="360"/>
    </w:pPr>
    <w:rPr>
      <w:rFonts w:ascii="宋体" w:hAnsi="宋体" w:eastAsia="宋体" w:cs="宋体"/>
      <w:sz w:val="19"/>
      <w:szCs w:val="19"/>
      <w:u w:val="none"/>
      <w:shd w:val="clear" w:color="auto" w:fill="auto"/>
      <w:lang w:val="zh-TW" w:eastAsia="zh-TW" w:bidi="zh-TW"/>
    </w:rPr>
  </w:style>
  <w:style w:type="paragraph" w:customStyle="1" w:styleId="16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emf"/><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47</Pages>
  <Words>3534</Words>
  <Characters>20144</Characters>
  <Lines>167</Lines>
  <Paragraphs>47</Paragraphs>
  <TotalTime>10</TotalTime>
  <ScaleCrop>false</ScaleCrop>
  <LinksUpToDate>false</LinksUpToDate>
  <CharactersWithSpaces>23631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2017-09-14T10:07:00Z</dcterms:created>
  <dc:creator>Administrator</dc:creator>
  <cp:lastModifiedBy>若^O^漓</cp:lastModifiedBy>
  <cp:lastPrinted>2020-05-09T06:22:00Z</cp:lastPrinted>
  <dcterms:modified xsi:type="dcterms:W3CDTF">2020-05-12T10:22:00Z</dcterms:modified>
  <dc:title>2017年中山市政府绩效管理咨询服务项目</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